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4C4" w:rsidRDefault="003E44C4" w:rsidP="005B312E">
      <w:pPr>
        <w:pStyle w:val="Heading1"/>
        <w:jc w:val="both"/>
        <w:rPr>
          <w:color w:val="auto"/>
        </w:rPr>
      </w:pPr>
      <w:r w:rsidRPr="005B312E">
        <w:rPr>
          <w:color w:val="auto"/>
        </w:rPr>
        <w:t xml:space="preserve">Examining the “True Cost” of Public Private Partnership Projects to the Public: A Challenge for </w:t>
      </w:r>
      <w:r w:rsidR="00176161">
        <w:rPr>
          <w:color w:val="auto"/>
        </w:rPr>
        <w:t xml:space="preserve">the </w:t>
      </w:r>
      <w:r w:rsidRPr="005B312E">
        <w:rPr>
          <w:color w:val="auto"/>
        </w:rPr>
        <w:t>African Surveying Profession</w:t>
      </w:r>
    </w:p>
    <w:p w:rsidR="006754B7" w:rsidRDefault="006754B7" w:rsidP="007412C4">
      <w:pPr>
        <w:jc w:val="both"/>
        <w:rPr>
          <w:rFonts w:cstheme="minorHAnsi"/>
          <w:sz w:val="20"/>
          <w:szCs w:val="20"/>
          <w:vertAlign w:val="superscript"/>
        </w:rPr>
      </w:pPr>
    </w:p>
    <w:p w:rsidR="006754B7" w:rsidRPr="006754B7" w:rsidRDefault="006754B7" w:rsidP="007412C4">
      <w:pPr>
        <w:jc w:val="both"/>
        <w:rPr>
          <w:rFonts w:ascii="Book Antiqua" w:hAnsi="Book Antiqua" w:cstheme="minorHAnsi"/>
          <w:sz w:val="24"/>
          <w:szCs w:val="24"/>
        </w:rPr>
      </w:pPr>
      <w:r w:rsidRPr="006754B7">
        <w:rPr>
          <w:rFonts w:ascii="Book Antiqua" w:hAnsi="Book Antiqua" w:cstheme="minorHAnsi"/>
          <w:sz w:val="24"/>
          <w:szCs w:val="24"/>
          <w:vertAlign w:val="superscript"/>
        </w:rPr>
        <w:t>1</w:t>
      </w:r>
      <w:r w:rsidR="007412C4" w:rsidRPr="006754B7">
        <w:rPr>
          <w:rFonts w:ascii="Book Antiqua" w:hAnsi="Book Antiqua" w:cstheme="minorHAnsi"/>
          <w:sz w:val="24"/>
          <w:szCs w:val="24"/>
        </w:rPr>
        <w:t>Wilfred M. Matipa</w:t>
      </w:r>
      <w:r w:rsidRPr="006754B7">
        <w:rPr>
          <w:rFonts w:ascii="Book Antiqua" w:hAnsi="Book Antiqua" w:cstheme="minorHAnsi"/>
          <w:sz w:val="24"/>
          <w:szCs w:val="24"/>
        </w:rPr>
        <w:t xml:space="preserve">, </w:t>
      </w:r>
      <w:r w:rsidRPr="006754B7">
        <w:rPr>
          <w:rFonts w:ascii="Book Antiqua" w:hAnsi="Book Antiqua" w:cstheme="minorHAnsi"/>
          <w:sz w:val="24"/>
          <w:szCs w:val="24"/>
          <w:vertAlign w:val="superscript"/>
        </w:rPr>
        <w:t>2</w:t>
      </w:r>
      <w:r w:rsidRPr="006754B7">
        <w:rPr>
          <w:rFonts w:ascii="Book Antiqua" w:hAnsi="Book Antiqua" w:cstheme="minorHAnsi"/>
          <w:sz w:val="24"/>
          <w:szCs w:val="24"/>
        </w:rPr>
        <w:t xml:space="preserve">Katyoka Mutale, </w:t>
      </w:r>
      <w:r w:rsidRPr="006754B7">
        <w:rPr>
          <w:rFonts w:ascii="Book Antiqua" w:hAnsi="Book Antiqua" w:cstheme="minorHAnsi"/>
          <w:sz w:val="24"/>
          <w:szCs w:val="24"/>
          <w:vertAlign w:val="superscript"/>
        </w:rPr>
        <w:t>3</w:t>
      </w:r>
      <w:r w:rsidRPr="006754B7">
        <w:rPr>
          <w:rFonts w:ascii="Book Antiqua" w:hAnsi="Book Antiqua" w:cstheme="minorHAnsi"/>
          <w:sz w:val="24"/>
          <w:szCs w:val="24"/>
        </w:rPr>
        <w:t xml:space="preserve">Alice Suzyo Lungu and </w:t>
      </w:r>
      <w:r w:rsidRPr="006754B7">
        <w:rPr>
          <w:rFonts w:ascii="Book Antiqua" w:hAnsi="Book Antiqua" w:cstheme="minorHAnsi"/>
          <w:sz w:val="24"/>
          <w:szCs w:val="24"/>
          <w:vertAlign w:val="superscript"/>
        </w:rPr>
        <w:t>2</w:t>
      </w:r>
      <w:r w:rsidRPr="006754B7">
        <w:rPr>
          <w:rFonts w:ascii="Book Antiqua" w:hAnsi="Book Antiqua" w:cstheme="minorHAnsi"/>
          <w:sz w:val="24"/>
          <w:szCs w:val="24"/>
        </w:rPr>
        <w:t>Christian Henjewele </w:t>
      </w:r>
    </w:p>
    <w:p w:rsidR="007412C4" w:rsidRPr="006754B7" w:rsidRDefault="006754B7" w:rsidP="007412C4">
      <w:pPr>
        <w:jc w:val="both"/>
        <w:rPr>
          <w:rFonts w:ascii="Book Antiqua" w:hAnsi="Book Antiqua" w:cstheme="minorHAnsi"/>
          <w:sz w:val="20"/>
          <w:szCs w:val="20"/>
        </w:rPr>
      </w:pPr>
      <w:r w:rsidRPr="006754B7">
        <w:rPr>
          <w:rFonts w:ascii="Book Antiqua" w:hAnsi="Book Antiqua" w:cstheme="minorHAnsi"/>
          <w:sz w:val="20"/>
          <w:szCs w:val="20"/>
          <w:vertAlign w:val="superscript"/>
        </w:rPr>
        <w:t>1</w:t>
      </w:r>
      <w:r w:rsidR="007412C4" w:rsidRPr="006754B7">
        <w:rPr>
          <w:rFonts w:ascii="Book Antiqua" w:hAnsi="Book Antiqua" w:cstheme="minorHAnsi"/>
          <w:sz w:val="20"/>
          <w:szCs w:val="20"/>
        </w:rPr>
        <w:t>Liverpool John Moores University</w:t>
      </w:r>
      <w:r w:rsidRPr="006754B7">
        <w:rPr>
          <w:rFonts w:ascii="Book Antiqua" w:hAnsi="Book Antiqua" w:cstheme="minorHAnsi"/>
          <w:sz w:val="20"/>
          <w:szCs w:val="20"/>
        </w:rPr>
        <w:t xml:space="preserve"> (LJMU)</w:t>
      </w:r>
      <w:r w:rsidR="007412C4" w:rsidRPr="006754B7">
        <w:rPr>
          <w:rFonts w:ascii="Book Antiqua" w:hAnsi="Book Antiqua" w:cstheme="minorHAnsi"/>
          <w:sz w:val="20"/>
          <w:szCs w:val="20"/>
        </w:rPr>
        <w:t>, School of the Built Environment, Liverpool, UK</w:t>
      </w:r>
    </w:p>
    <w:p w:rsidR="007412C4" w:rsidRPr="006754B7" w:rsidRDefault="006754B7" w:rsidP="007412C4">
      <w:pPr>
        <w:rPr>
          <w:rFonts w:ascii="Book Antiqua" w:hAnsi="Book Antiqua" w:cstheme="minorHAnsi"/>
          <w:sz w:val="20"/>
          <w:szCs w:val="20"/>
        </w:rPr>
      </w:pPr>
      <w:r w:rsidRPr="006754B7">
        <w:rPr>
          <w:rFonts w:ascii="Book Antiqua" w:hAnsi="Book Antiqua" w:cstheme="minorHAnsi"/>
          <w:sz w:val="20"/>
          <w:szCs w:val="20"/>
          <w:vertAlign w:val="superscript"/>
        </w:rPr>
        <w:t>2</w:t>
      </w:r>
      <w:r w:rsidR="007412C4" w:rsidRPr="006754B7">
        <w:rPr>
          <w:rFonts w:ascii="Book Antiqua" w:hAnsi="Book Antiqua" w:cstheme="minorHAnsi"/>
          <w:sz w:val="20"/>
          <w:szCs w:val="20"/>
        </w:rPr>
        <w:t xml:space="preserve">University of the West of England (UWE), </w:t>
      </w:r>
      <w:r w:rsidR="006649E5">
        <w:rPr>
          <w:rFonts w:ascii="Book Antiqua" w:hAnsi="Book Antiqua" w:cstheme="minorHAnsi"/>
          <w:sz w:val="20"/>
          <w:szCs w:val="20"/>
        </w:rPr>
        <w:t>Department of Construction and Property</w:t>
      </w:r>
      <w:r w:rsidR="007412C4" w:rsidRPr="006754B7">
        <w:rPr>
          <w:rFonts w:ascii="Book Antiqua" w:hAnsi="Book Antiqua" w:cstheme="minorHAnsi"/>
          <w:sz w:val="20"/>
          <w:szCs w:val="20"/>
        </w:rPr>
        <w:t>, Bristol, UK</w:t>
      </w:r>
    </w:p>
    <w:p w:rsidR="007412C4" w:rsidRDefault="006754B7" w:rsidP="007412C4">
      <w:pPr>
        <w:rPr>
          <w:rFonts w:ascii="Book Antiqua" w:hAnsi="Book Antiqua" w:cstheme="minorHAnsi"/>
          <w:sz w:val="20"/>
          <w:szCs w:val="20"/>
        </w:rPr>
      </w:pPr>
      <w:r w:rsidRPr="006754B7">
        <w:rPr>
          <w:rFonts w:ascii="Book Antiqua" w:hAnsi="Book Antiqua" w:cstheme="minorHAnsi"/>
          <w:sz w:val="20"/>
          <w:szCs w:val="20"/>
          <w:vertAlign w:val="superscript"/>
        </w:rPr>
        <w:t>3</w:t>
      </w:r>
      <w:r w:rsidR="007412C4" w:rsidRPr="006754B7">
        <w:rPr>
          <w:rFonts w:ascii="Book Antiqua" w:hAnsi="Book Antiqua" w:cstheme="minorHAnsi"/>
          <w:sz w:val="20"/>
          <w:szCs w:val="20"/>
        </w:rPr>
        <w:t>The Copperbelt University</w:t>
      </w:r>
      <w:r w:rsidRPr="006754B7">
        <w:rPr>
          <w:rFonts w:ascii="Book Antiqua" w:hAnsi="Book Antiqua" w:cstheme="minorHAnsi"/>
          <w:sz w:val="20"/>
          <w:szCs w:val="20"/>
        </w:rPr>
        <w:t xml:space="preserve"> (CBU)</w:t>
      </w:r>
      <w:r w:rsidR="007412C4" w:rsidRPr="006754B7">
        <w:rPr>
          <w:rFonts w:ascii="Book Antiqua" w:hAnsi="Book Antiqua" w:cstheme="minorHAnsi"/>
          <w:sz w:val="20"/>
          <w:szCs w:val="20"/>
        </w:rPr>
        <w:t>, School of the Built Environment, Department of Building Sciences, Riverside Campus, Jambo Drive, Kitwe, Zambia</w:t>
      </w:r>
    </w:p>
    <w:p w:rsidR="006754B7" w:rsidRPr="006754B7" w:rsidRDefault="006754B7" w:rsidP="007412C4">
      <w:pPr>
        <w:rPr>
          <w:rFonts w:ascii="Book Antiqua" w:hAnsi="Book Antiqua" w:cstheme="minorHAnsi"/>
          <w:sz w:val="20"/>
          <w:szCs w:val="20"/>
        </w:rPr>
      </w:pPr>
    </w:p>
    <w:p w:rsidR="003E44C4" w:rsidRPr="005B312E" w:rsidRDefault="003E44C4" w:rsidP="003E44C4">
      <w:pPr>
        <w:jc w:val="both"/>
        <w:rPr>
          <w:b/>
          <w:sz w:val="24"/>
          <w:szCs w:val="24"/>
        </w:rPr>
      </w:pPr>
      <w:r w:rsidRPr="005B312E">
        <w:rPr>
          <w:b/>
          <w:sz w:val="24"/>
          <w:szCs w:val="24"/>
        </w:rPr>
        <w:t>Abstract</w:t>
      </w:r>
    </w:p>
    <w:p w:rsidR="00E76584" w:rsidRPr="00422084" w:rsidRDefault="00E76584" w:rsidP="00E76584">
      <w:pPr>
        <w:jc w:val="both"/>
        <w:rPr>
          <w:rFonts w:ascii="Book Antiqua" w:hAnsi="Book Antiqua"/>
          <w:color w:val="000000"/>
          <w:sz w:val="24"/>
          <w:szCs w:val="24"/>
        </w:rPr>
      </w:pPr>
      <w:r w:rsidRPr="00422084">
        <w:rPr>
          <w:rFonts w:ascii="Book Antiqua" w:hAnsi="Book Antiqua"/>
          <w:color w:val="000000"/>
          <w:sz w:val="24"/>
          <w:szCs w:val="24"/>
        </w:rPr>
        <w:t xml:space="preserve">For over 30 years the quantity and valuation surveying professions have been facilitating infrastructure development in Zambia regardless of the economic environment at any particular point in time. Recently, however, there has been a trend where the information about infrastructure development policy has been punctuating daily tabloids without a notable participation of the surveying professionals. A case in point is the reemergence and reinvigoration of the Public Private Partnerships (PPP) for nearly every major project in Zambia over the last 5 years. Anecdotal evidence indicates that while the costs of such projects have been the subject of the built environment and engineering professional discussions, there has been no clear policy evaluation and guidance from the Surveyors Institute of Zambia (SIZ); more so with a clear indication of the true value and cost of such projects to the public coffers over the proposed concession periods. There could be a myriad of reasons for a lack of professional surveyors’ engagement with policy development; but the outright outcome of such a stance by the surveyors could arguably lead to poor utility value though the life cycle of the infrastructure. This paper strives to ignite critical discussions of the role the surveying profession ought to play in the overall infrastructure development within Zambia, and Africa at large; and how professionals could engage policy makers with a view of creating a mutual appreciation of the importance of either profession to the public life without jeopardising the institutional trust between policy makers and surveyors. The paper concludes that unless surveyors can prove their importance to policy makers, development would continue costing the tax payer beyond what they </w:t>
      </w:r>
      <w:r w:rsidRPr="00422084">
        <w:rPr>
          <w:rFonts w:ascii="Book Antiqua" w:hAnsi="Book Antiqua"/>
          <w:color w:val="000000"/>
          <w:sz w:val="24"/>
          <w:szCs w:val="24"/>
          <w:lang w:val="en-GB"/>
        </w:rPr>
        <w:t>ought</w:t>
      </w:r>
      <w:r w:rsidRPr="00422084">
        <w:rPr>
          <w:rFonts w:ascii="Book Antiqua" w:hAnsi="Book Antiqua"/>
          <w:color w:val="000000"/>
          <w:sz w:val="24"/>
          <w:szCs w:val="24"/>
        </w:rPr>
        <w:t xml:space="preserve"> to pay for. </w:t>
      </w:r>
    </w:p>
    <w:p w:rsidR="00E76584" w:rsidRPr="00807E75" w:rsidRDefault="00E76584" w:rsidP="00E76584">
      <w:pPr>
        <w:jc w:val="both"/>
        <w:rPr>
          <w:rFonts w:ascii="Book Antiqua" w:hAnsi="Book Antiqua"/>
          <w:color w:val="000000"/>
          <w:sz w:val="20"/>
          <w:szCs w:val="20"/>
        </w:rPr>
      </w:pPr>
      <w:r w:rsidRPr="00807E75">
        <w:rPr>
          <w:rFonts w:ascii="Book Antiqua" w:hAnsi="Book Antiqua"/>
          <w:b/>
          <w:sz w:val="20"/>
          <w:szCs w:val="20"/>
        </w:rPr>
        <w:t>Key Words</w:t>
      </w:r>
      <w:r w:rsidRPr="00807E75">
        <w:rPr>
          <w:rFonts w:ascii="Book Antiqua" w:hAnsi="Book Antiqua"/>
          <w:color w:val="000000"/>
          <w:sz w:val="20"/>
          <w:szCs w:val="20"/>
        </w:rPr>
        <w:t>: Public Private Partnerships, Value, Cost, Policy, Surveyors Institute of Zambia</w:t>
      </w:r>
    </w:p>
    <w:p w:rsidR="003E44C4" w:rsidRPr="005B312E" w:rsidRDefault="003E44C4" w:rsidP="005B312E">
      <w:pPr>
        <w:pStyle w:val="Heading2"/>
        <w:jc w:val="both"/>
        <w:rPr>
          <w:color w:val="auto"/>
        </w:rPr>
      </w:pPr>
      <w:r w:rsidRPr="005B312E">
        <w:rPr>
          <w:color w:val="auto"/>
        </w:rPr>
        <w:lastRenderedPageBreak/>
        <w:t>Introduction</w:t>
      </w:r>
    </w:p>
    <w:p w:rsidR="006754B7" w:rsidRPr="006754B7" w:rsidRDefault="00807E75" w:rsidP="00266302">
      <w:pPr>
        <w:spacing w:line="360" w:lineRule="auto"/>
        <w:jc w:val="both"/>
        <w:rPr>
          <w:rFonts w:ascii="Book Antiqua" w:hAnsi="Book Antiqua"/>
          <w:color w:val="000000"/>
          <w:sz w:val="24"/>
          <w:szCs w:val="24"/>
          <w:lang w:val="en-GB"/>
        </w:rPr>
      </w:pPr>
      <w:r>
        <w:rPr>
          <w:rFonts w:ascii="Book Antiqua" w:hAnsi="Book Antiqua"/>
          <w:color w:val="000000"/>
          <w:sz w:val="24"/>
          <w:szCs w:val="24"/>
          <w:lang w:val="en-GB"/>
        </w:rPr>
        <w:t>Having realised the</w:t>
      </w:r>
      <w:r w:rsidR="00D34B07">
        <w:rPr>
          <w:rFonts w:ascii="Book Antiqua" w:hAnsi="Book Antiqua"/>
          <w:color w:val="000000"/>
          <w:sz w:val="24"/>
          <w:szCs w:val="24"/>
          <w:lang w:val="en-GB"/>
        </w:rPr>
        <w:t xml:space="preserve"> inc</w:t>
      </w:r>
      <w:r w:rsidR="005E46A4">
        <w:rPr>
          <w:rFonts w:ascii="Book Antiqua" w:hAnsi="Book Antiqua"/>
          <w:color w:val="000000"/>
          <w:sz w:val="24"/>
          <w:szCs w:val="24"/>
          <w:lang w:val="en-GB"/>
        </w:rPr>
        <w:t>r</w:t>
      </w:r>
      <w:r w:rsidR="00D34B07">
        <w:rPr>
          <w:rFonts w:ascii="Book Antiqua" w:hAnsi="Book Antiqua"/>
          <w:color w:val="000000"/>
          <w:sz w:val="24"/>
          <w:szCs w:val="24"/>
          <w:lang w:val="en-GB"/>
        </w:rPr>
        <w:t>easing</w:t>
      </w:r>
      <w:r w:rsidR="005E46A4">
        <w:rPr>
          <w:rFonts w:ascii="Book Antiqua" w:hAnsi="Book Antiqua"/>
          <w:color w:val="000000"/>
          <w:sz w:val="24"/>
          <w:szCs w:val="24"/>
          <w:lang w:val="en-GB"/>
        </w:rPr>
        <w:t xml:space="preserve"> </w:t>
      </w:r>
      <w:r>
        <w:rPr>
          <w:rFonts w:ascii="Book Antiqua" w:hAnsi="Book Antiqua"/>
          <w:color w:val="000000"/>
          <w:sz w:val="24"/>
          <w:szCs w:val="24"/>
          <w:lang w:val="en-GB"/>
        </w:rPr>
        <w:t>pressure</w:t>
      </w:r>
      <w:r w:rsidR="00881EA3">
        <w:rPr>
          <w:rFonts w:ascii="Book Antiqua" w:hAnsi="Book Antiqua"/>
          <w:color w:val="000000"/>
          <w:sz w:val="24"/>
          <w:szCs w:val="24"/>
          <w:lang w:val="en-GB"/>
        </w:rPr>
        <w:t xml:space="preserve"> on the </w:t>
      </w:r>
      <w:r>
        <w:rPr>
          <w:rFonts w:ascii="Book Antiqua" w:hAnsi="Book Antiqua"/>
          <w:color w:val="000000"/>
          <w:sz w:val="24"/>
          <w:szCs w:val="24"/>
          <w:lang w:val="en-GB"/>
        </w:rPr>
        <w:t xml:space="preserve">current infrastructure, the government of the republic of Zambia realised that it could tap resources from private financers by engaging them in public sector based projects, reported Mukela (2006). The government </w:t>
      </w:r>
      <w:r w:rsidR="00C53493" w:rsidRPr="00807E75">
        <w:rPr>
          <w:rFonts w:ascii="Book Antiqua" w:hAnsi="Book Antiqua"/>
          <w:color w:val="000000"/>
          <w:sz w:val="24"/>
          <w:szCs w:val="24"/>
          <w:lang w:val="en-GB"/>
        </w:rPr>
        <w:t xml:space="preserve">under the Ministry of Finance and National Planning </w:t>
      </w:r>
      <w:r>
        <w:rPr>
          <w:rFonts w:ascii="Book Antiqua" w:hAnsi="Book Antiqua"/>
          <w:color w:val="000000"/>
          <w:sz w:val="24"/>
          <w:szCs w:val="24"/>
          <w:lang w:val="en-GB"/>
        </w:rPr>
        <w:t xml:space="preserve">has since set up </w:t>
      </w:r>
      <w:r w:rsidR="00881EA3">
        <w:rPr>
          <w:rFonts w:ascii="Book Antiqua" w:hAnsi="Book Antiqua"/>
          <w:color w:val="000000"/>
          <w:sz w:val="24"/>
          <w:szCs w:val="24"/>
          <w:lang w:val="en-GB"/>
        </w:rPr>
        <w:t xml:space="preserve">a </w:t>
      </w:r>
      <w:r w:rsidRPr="00807E75">
        <w:rPr>
          <w:rFonts w:ascii="Book Antiqua" w:hAnsi="Book Antiqua"/>
          <w:color w:val="000000"/>
          <w:sz w:val="24"/>
          <w:szCs w:val="24"/>
          <w:lang w:val="en-GB"/>
        </w:rPr>
        <w:t>Public-Private Partnerships Unit (PPPU), governed by the Public-Private Partnerships Act number 14 of 2009</w:t>
      </w:r>
      <w:r>
        <w:rPr>
          <w:rFonts w:ascii="Book Antiqua" w:hAnsi="Book Antiqua"/>
          <w:color w:val="000000"/>
          <w:sz w:val="24"/>
          <w:szCs w:val="24"/>
          <w:lang w:val="en-GB"/>
        </w:rPr>
        <w:t xml:space="preserve">; whose main focus is the delivery of projects through the public private partnership </w:t>
      </w:r>
      <w:r w:rsidR="00C53493">
        <w:rPr>
          <w:rFonts w:ascii="Book Antiqua" w:hAnsi="Book Antiqua"/>
          <w:color w:val="000000"/>
          <w:sz w:val="24"/>
          <w:szCs w:val="24"/>
          <w:lang w:val="en-GB"/>
        </w:rPr>
        <w:t>model</w:t>
      </w:r>
      <w:r w:rsidR="00C53493" w:rsidDel="00C53493">
        <w:rPr>
          <w:rFonts w:ascii="Book Antiqua" w:hAnsi="Book Antiqua"/>
          <w:color w:val="000000"/>
          <w:sz w:val="24"/>
          <w:szCs w:val="24"/>
          <w:lang w:val="en-GB"/>
        </w:rPr>
        <w:t xml:space="preserve"> </w:t>
      </w:r>
      <w:r>
        <w:rPr>
          <w:rFonts w:ascii="Book Antiqua" w:hAnsi="Book Antiqua"/>
          <w:color w:val="000000"/>
          <w:sz w:val="24"/>
          <w:szCs w:val="24"/>
          <w:lang w:val="en-GB"/>
        </w:rPr>
        <w:t xml:space="preserve">of procurement. </w:t>
      </w:r>
      <w:r w:rsidR="00266302" w:rsidRPr="00266302">
        <w:rPr>
          <w:rFonts w:ascii="Book Antiqua" w:hAnsi="Book Antiqua"/>
          <w:color w:val="000000"/>
          <w:sz w:val="24"/>
          <w:szCs w:val="24"/>
          <w:lang w:val="en-GB"/>
        </w:rPr>
        <w:t xml:space="preserve">Public Private Partnerships (PPP’s) </w:t>
      </w:r>
      <w:r w:rsidR="00266302">
        <w:rPr>
          <w:rFonts w:ascii="Book Antiqua" w:hAnsi="Book Antiqua"/>
          <w:color w:val="000000"/>
          <w:sz w:val="24"/>
          <w:szCs w:val="24"/>
          <w:lang w:val="en-GB"/>
        </w:rPr>
        <w:t>“</w:t>
      </w:r>
      <w:r w:rsidR="00266302" w:rsidRPr="00266302">
        <w:rPr>
          <w:rFonts w:ascii="Book Antiqua" w:hAnsi="Book Antiqua"/>
          <w:i/>
          <w:color w:val="000000"/>
          <w:sz w:val="24"/>
          <w:szCs w:val="24"/>
          <w:lang w:val="en-GB"/>
        </w:rPr>
        <w:t>are essentially partnerships between private sector organisations and public sector investors and businesses for the purpose of designing, planning, financing, constructing and/or operating infrastructure projects, which would usually be provided through traditional procurement mechanisms by the State</w:t>
      </w:r>
      <w:r w:rsidR="00266302">
        <w:rPr>
          <w:rFonts w:ascii="Book Antiqua" w:hAnsi="Book Antiqua"/>
          <w:color w:val="000000"/>
          <w:sz w:val="24"/>
          <w:szCs w:val="24"/>
          <w:lang w:val="en-GB"/>
        </w:rPr>
        <w:t>” (NRA, 2001)</w:t>
      </w:r>
      <w:r w:rsidR="00266302" w:rsidRPr="00266302">
        <w:rPr>
          <w:rFonts w:ascii="Book Antiqua" w:hAnsi="Book Antiqua"/>
          <w:color w:val="000000"/>
          <w:sz w:val="24"/>
          <w:szCs w:val="24"/>
          <w:lang w:val="en-GB"/>
        </w:rPr>
        <w:t xml:space="preserve">. </w:t>
      </w:r>
      <w:r w:rsidR="00266302">
        <w:rPr>
          <w:rFonts w:ascii="Book Antiqua" w:hAnsi="Book Antiqua"/>
          <w:color w:val="000000"/>
          <w:sz w:val="24"/>
          <w:szCs w:val="24"/>
          <w:lang w:val="en-GB"/>
        </w:rPr>
        <w:t>“</w:t>
      </w:r>
      <w:r w:rsidR="00266302" w:rsidRPr="00266302">
        <w:rPr>
          <w:rFonts w:ascii="Book Antiqua" w:hAnsi="Book Antiqua"/>
          <w:i/>
          <w:color w:val="000000"/>
          <w:sz w:val="24"/>
          <w:szCs w:val="24"/>
          <w:lang w:val="en-GB"/>
        </w:rPr>
        <w:t>At the heart of the PPP approach is the concept that better value for money can be achieved by utilisation of private sector enterprise due to the enhanced scope for innovation and by allocating the risk to the party best able to manage it</w:t>
      </w:r>
      <w:r w:rsidR="00266302">
        <w:rPr>
          <w:rFonts w:ascii="Book Antiqua" w:hAnsi="Book Antiqua"/>
          <w:color w:val="000000"/>
          <w:sz w:val="24"/>
          <w:szCs w:val="24"/>
          <w:lang w:val="en-GB"/>
        </w:rPr>
        <w:t>”</w:t>
      </w:r>
      <w:r w:rsidR="00266302" w:rsidRPr="00266302">
        <w:rPr>
          <w:rFonts w:ascii="Book Antiqua" w:hAnsi="Book Antiqua"/>
          <w:color w:val="000000"/>
          <w:sz w:val="24"/>
          <w:szCs w:val="24"/>
          <w:lang w:val="en-GB"/>
        </w:rPr>
        <w:t xml:space="preserve"> (NRA, 2001).</w:t>
      </w:r>
      <w:r w:rsidR="00266302">
        <w:rPr>
          <w:rFonts w:ascii="Book Antiqua" w:hAnsi="Book Antiqua"/>
          <w:color w:val="000000"/>
          <w:sz w:val="24"/>
          <w:szCs w:val="24"/>
          <w:lang w:val="en-GB"/>
        </w:rPr>
        <w:t xml:space="preserve"> The main challenge for the PPPU of Zambia, among others, would be the ability to demonstrate that the concept of value for money has been adhered to, and that the risks for the project are allocated to the best placed partner to the project. Because the </w:t>
      </w:r>
      <w:r w:rsidR="006754B7" w:rsidRPr="006754B7">
        <w:rPr>
          <w:rFonts w:ascii="Book Antiqua" w:hAnsi="Book Antiqua"/>
          <w:color w:val="000000"/>
          <w:sz w:val="24"/>
          <w:szCs w:val="24"/>
          <w:lang w:val="en-GB"/>
        </w:rPr>
        <w:t xml:space="preserve">aim of PPPs is to accelerate the provision of infrastructure through the use of private funding and experience, (Akintoye </w:t>
      </w:r>
      <w:r w:rsidR="006754B7" w:rsidRPr="006754B7">
        <w:rPr>
          <w:rFonts w:ascii="Book Antiqua" w:hAnsi="Book Antiqua"/>
          <w:i/>
          <w:color w:val="000000"/>
          <w:sz w:val="24"/>
          <w:szCs w:val="24"/>
          <w:lang w:val="en-GB"/>
        </w:rPr>
        <w:t>et al</w:t>
      </w:r>
      <w:r w:rsidR="006754B7" w:rsidRPr="006754B7">
        <w:rPr>
          <w:rFonts w:ascii="Book Antiqua" w:hAnsi="Book Antiqua"/>
          <w:color w:val="000000"/>
          <w:sz w:val="24"/>
          <w:szCs w:val="24"/>
          <w:lang w:val="en-GB"/>
        </w:rPr>
        <w:t>, 2003)</w:t>
      </w:r>
      <w:r w:rsidR="00266302">
        <w:rPr>
          <w:rFonts w:ascii="Book Antiqua" w:hAnsi="Book Antiqua"/>
          <w:color w:val="000000"/>
          <w:sz w:val="24"/>
          <w:szCs w:val="24"/>
          <w:lang w:val="en-GB"/>
        </w:rPr>
        <w:t>, the initiative of the Zambian government is welcome; hence the need for a thorough evaluation of the current performance of the institutions such as the Surveyors Institute of Zambia with regard to how they are supporting policy implementation for PPP projects in Zambia</w:t>
      </w:r>
      <w:r w:rsidR="006754B7" w:rsidRPr="006754B7">
        <w:rPr>
          <w:rFonts w:ascii="Book Antiqua" w:hAnsi="Book Antiqua"/>
          <w:color w:val="000000"/>
          <w:sz w:val="24"/>
          <w:szCs w:val="24"/>
          <w:lang w:val="en-GB"/>
        </w:rPr>
        <w:t xml:space="preserve">. </w:t>
      </w:r>
      <w:r w:rsidR="00266302">
        <w:rPr>
          <w:rFonts w:ascii="Book Antiqua" w:hAnsi="Book Antiqua"/>
          <w:color w:val="000000"/>
          <w:sz w:val="24"/>
          <w:szCs w:val="24"/>
          <w:lang w:val="en-GB"/>
        </w:rPr>
        <w:t xml:space="preserve"> There are </w:t>
      </w:r>
      <w:r w:rsidR="00266302" w:rsidRPr="006754B7">
        <w:rPr>
          <w:rFonts w:ascii="Book Antiqua" w:hAnsi="Book Antiqua"/>
          <w:color w:val="000000"/>
          <w:sz w:val="24"/>
          <w:szCs w:val="24"/>
          <w:lang w:val="en-GB"/>
        </w:rPr>
        <w:t>perceived</w:t>
      </w:r>
      <w:r w:rsidR="006754B7" w:rsidRPr="006754B7">
        <w:rPr>
          <w:rFonts w:ascii="Book Antiqua" w:hAnsi="Book Antiqua"/>
          <w:color w:val="000000"/>
          <w:sz w:val="24"/>
          <w:szCs w:val="24"/>
          <w:lang w:val="en-GB"/>
        </w:rPr>
        <w:t xml:space="preserve"> advantages of PPPs </w:t>
      </w:r>
      <w:r w:rsidR="00266302">
        <w:rPr>
          <w:rFonts w:ascii="Book Antiqua" w:hAnsi="Book Antiqua"/>
          <w:color w:val="000000"/>
          <w:sz w:val="24"/>
          <w:szCs w:val="24"/>
          <w:lang w:val="en-GB"/>
        </w:rPr>
        <w:t>such as</w:t>
      </w:r>
      <w:r w:rsidR="006754B7" w:rsidRPr="006754B7">
        <w:rPr>
          <w:rFonts w:ascii="Book Antiqua" w:hAnsi="Book Antiqua"/>
          <w:color w:val="000000"/>
          <w:sz w:val="24"/>
          <w:szCs w:val="24"/>
          <w:lang w:val="en-GB"/>
        </w:rPr>
        <w:t xml:space="preserve"> improved value for money in public expenditure and delivery of services. This improvement in value for money</w:t>
      </w:r>
      <w:r w:rsidR="00266302">
        <w:rPr>
          <w:rFonts w:ascii="Book Antiqua" w:hAnsi="Book Antiqua"/>
          <w:color w:val="000000"/>
          <w:sz w:val="24"/>
          <w:szCs w:val="24"/>
          <w:lang w:val="en-GB"/>
        </w:rPr>
        <w:t>, according to Akintoye et al (2003),</w:t>
      </w:r>
      <w:r w:rsidR="006754B7" w:rsidRPr="006754B7">
        <w:rPr>
          <w:rFonts w:ascii="Book Antiqua" w:hAnsi="Book Antiqua"/>
          <w:color w:val="000000"/>
          <w:sz w:val="24"/>
          <w:szCs w:val="24"/>
          <w:lang w:val="en-GB"/>
        </w:rPr>
        <w:t xml:space="preserve"> is expected to occur through:</w:t>
      </w:r>
    </w:p>
    <w:p w:rsidR="006754B7" w:rsidRPr="006754B7" w:rsidRDefault="006754B7" w:rsidP="00266302">
      <w:pPr>
        <w:numPr>
          <w:ilvl w:val="0"/>
          <w:numId w:val="31"/>
        </w:numPr>
        <w:spacing w:line="360" w:lineRule="auto"/>
        <w:jc w:val="both"/>
        <w:rPr>
          <w:rFonts w:ascii="Book Antiqua" w:hAnsi="Book Antiqua"/>
          <w:color w:val="000000"/>
          <w:sz w:val="24"/>
          <w:szCs w:val="24"/>
          <w:lang w:val="en-GB"/>
        </w:rPr>
      </w:pPr>
      <w:r w:rsidRPr="006754B7">
        <w:rPr>
          <w:rFonts w:ascii="Book Antiqua" w:hAnsi="Book Antiqua"/>
          <w:color w:val="000000"/>
          <w:sz w:val="24"/>
          <w:szCs w:val="24"/>
          <w:lang w:val="en-GB"/>
        </w:rPr>
        <w:t xml:space="preserve">Optimum risk allocation, </w:t>
      </w:r>
    </w:p>
    <w:p w:rsidR="006754B7" w:rsidRPr="006754B7" w:rsidRDefault="006754B7" w:rsidP="00266302">
      <w:pPr>
        <w:numPr>
          <w:ilvl w:val="0"/>
          <w:numId w:val="31"/>
        </w:numPr>
        <w:spacing w:line="360" w:lineRule="auto"/>
        <w:jc w:val="both"/>
        <w:rPr>
          <w:rFonts w:ascii="Book Antiqua" w:hAnsi="Book Antiqua"/>
          <w:color w:val="000000"/>
          <w:sz w:val="24"/>
          <w:szCs w:val="24"/>
          <w:lang w:val="en-GB"/>
        </w:rPr>
      </w:pPr>
      <w:r w:rsidRPr="006754B7">
        <w:rPr>
          <w:rFonts w:ascii="Book Antiqua" w:hAnsi="Book Antiqua"/>
          <w:color w:val="000000"/>
          <w:sz w:val="24"/>
          <w:szCs w:val="24"/>
          <w:lang w:val="en-GB"/>
        </w:rPr>
        <w:t xml:space="preserve">Utilisation of private sector innovation </w:t>
      </w:r>
    </w:p>
    <w:p w:rsidR="006754B7" w:rsidRPr="006754B7" w:rsidRDefault="006754B7" w:rsidP="00266302">
      <w:pPr>
        <w:numPr>
          <w:ilvl w:val="0"/>
          <w:numId w:val="31"/>
        </w:numPr>
        <w:spacing w:line="360" w:lineRule="auto"/>
        <w:jc w:val="both"/>
        <w:rPr>
          <w:rFonts w:ascii="Book Antiqua" w:hAnsi="Book Antiqua"/>
          <w:color w:val="000000"/>
          <w:sz w:val="24"/>
          <w:szCs w:val="24"/>
          <w:lang w:val="en-GB"/>
        </w:rPr>
      </w:pPr>
      <w:r w:rsidRPr="006754B7">
        <w:rPr>
          <w:rFonts w:ascii="Book Antiqua" w:hAnsi="Book Antiqua"/>
          <w:color w:val="000000"/>
          <w:sz w:val="24"/>
          <w:szCs w:val="24"/>
          <w:lang w:val="en-GB"/>
        </w:rPr>
        <w:t xml:space="preserve">The adoption of a ‘whole life approach’ to infrastructure costing; and    </w:t>
      </w:r>
    </w:p>
    <w:p w:rsidR="006754B7" w:rsidRPr="00266302" w:rsidRDefault="006754B7" w:rsidP="00266302">
      <w:pPr>
        <w:numPr>
          <w:ilvl w:val="0"/>
          <w:numId w:val="31"/>
        </w:numPr>
        <w:spacing w:line="360" w:lineRule="auto"/>
        <w:jc w:val="both"/>
        <w:rPr>
          <w:rFonts w:ascii="Book Antiqua" w:hAnsi="Book Antiqua"/>
          <w:color w:val="000000"/>
          <w:sz w:val="24"/>
          <w:szCs w:val="24"/>
          <w:lang w:val="en-GB"/>
        </w:rPr>
      </w:pPr>
      <w:r w:rsidRPr="00266302">
        <w:rPr>
          <w:rFonts w:ascii="Book Antiqua" w:hAnsi="Book Antiqua"/>
          <w:color w:val="000000"/>
          <w:sz w:val="24"/>
          <w:szCs w:val="24"/>
          <w:lang w:val="en-GB"/>
        </w:rPr>
        <w:lastRenderedPageBreak/>
        <w:t xml:space="preserve">Greater utilisation of private sector skills of financial management and efficiencies  (Akintoye </w:t>
      </w:r>
      <w:r w:rsidRPr="00266302">
        <w:rPr>
          <w:rFonts w:ascii="Book Antiqua" w:hAnsi="Book Antiqua"/>
          <w:i/>
          <w:color w:val="000000"/>
          <w:sz w:val="24"/>
          <w:szCs w:val="24"/>
          <w:lang w:val="en-GB"/>
        </w:rPr>
        <w:t>et al</w:t>
      </w:r>
      <w:r w:rsidRPr="00266302">
        <w:rPr>
          <w:rFonts w:ascii="Book Antiqua" w:hAnsi="Book Antiqua"/>
          <w:color w:val="000000"/>
          <w:sz w:val="24"/>
          <w:szCs w:val="24"/>
          <w:lang w:val="en-GB"/>
        </w:rPr>
        <w:t>, 2003)</w:t>
      </w:r>
    </w:p>
    <w:p w:rsidR="005B312E" w:rsidRPr="00266302" w:rsidRDefault="00266302" w:rsidP="00266302">
      <w:pPr>
        <w:spacing w:line="360" w:lineRule="auto"/>
        <w:jc w:val="both"/>
        <w:rPr>
          <w:rFonts w:ascii="Book Antiqua" w:hAnsi="Book Antiqua"/>
          <w:color w:val="000000"/>
          <w:sz w:val="24"/>
          <w:szCs w:val="24"/>
        </w:rPr>
      </w:pPr>
      <w:r w:rsidRPr="00266302">
        <w:rPr>
          <w:rFonts w:ascii="Book Antiqua" w:hAnsi="Book Antiqua"/>
          <w:color w:val="000000"/>
          <w:sz w:val="24"/>
          <w:szCs w:val="24"/>
        </w:rPr>
        <w:t xml:space="preserve">Based on anecdotal evidence of the current projects that Zambia has been undertaking, there is no proof within the public domain as to how the “whole life approach” has been carried out; and that the Surveyors Institution of Zambia has not been actively pursuing the issue so as to avail cost and value information for the public consumption. It could be argued that there are many risks to the public purse on such projects that are being left in the hands of policy makers. This paper, therefore, examines some of the key indicators on the Zambian economy that could used by the Surveyors Institute of Zambia (SIZ) as a means of engaging policy makers on how best to deliver PPP projects in a developing country like Zambia. </w:t>
      </w:r>
    </w:p>
    <w:p w:rsidR="00422084" w:rsidRDefault="00422084" w:rsidP="003E44C4">
      <w:pPr>
        <w:jc w:val="both"/>
        <w:rPr>
          <w:color w:val="000000"/>
          <w:sz w:val="17"/>
          <w:szCs w:val="17"/>
        </w:rPr>
      </w:pPr>
    </w:p>
    <w:p w:rsidR="003E44C4" w:rsidRDefault="003E44C4" w:rsidP="005B312E">
      <w:pPr>
        <w:pStyle w:val="Heading2"/>
        <w:jc w:val="both"/>
        <w:rPr>
          <w:color w:val="auto"/>
        </w:rPr>
      </w:pPr>
      <w:r w:rsidRPr="005B312E">
        <w:rPr>
          <w:color w:val="auto"/>
        </w:rPr>
        <w:t>Policy Interpretation of Public Private Partnerships</w:t>
      </w:r>
      <w:r w:rsidR="00954580">
        <w:rPr>
          <w:color w:val="auto"/>
        </w:rPr>
        <w:t xml:space="preserve">: What </w:t>
      </w:r>
      <w:r w:rsidR="00B43FC2">
        <w:rPr>
          <w:color w:val="auto"/>
        </w:rPr>
        <w:t>a</w:t>
      </w:r>
      <w:r w:rsidR="00954580">
        <w:rPr>
          <w:color w:val="auto"/>
        </w:rPr>
        <w:t xml:space="preserve"> Surveyor Needs to Know</w:t>
      </w:r>
    </w:p>
    <w:p w:rsidR="00B43FC2" w:rsidRPr="00D51168" w:rsidRDefault="00B43FC2" w:rsidP="00D51168">
      <w:pPr>
        <w:spacing w:line="360" w:lineRule="auto"/>
        <w:jc w:val="both"/>
        <w:rPr>
          <w:rFonts w:ascii="Book Antiqua" w:hAnsi="Book Antiqua" w:cs="Book Antiqua"/>
          <w:color w:val="000000"/>
          <w:sz w:val="24"/>
          <w:szCs w:val="24"/>
        </w:rPr>
      </w:pPr>
      <w:r w:rsidRPr="00D51168">
        <w:rPr>
          <w:rFonts w:ascii="Book Antiqua" w:hAnsi="Book Antiqua"/>
          <w:sz w:val="24"/>
          <w:szCs w:val="24"/>
        </w:rPr>
        <w:t xml:space="preserve">There is no place or book where one can find a specific statement as to what the “Surveyor” role would be on a PPP project; however, based on the characteristics of the procurement system, and the resource involved, it can be deduced that the major role of the surveyors could be to model the whole life cycle cost of the projects; as well as identifying the market value (depended on the quality and status) of the facility when handed back to the public. </w:t>
      </w:r>
      <w:r w:rsidR="00E10984" w:rsidRPr="00D51168">
        <w:rPr>
          <w:rFonts w:ascii="Book Antiqua" w:hAnsi="Book Antiqua" w:cs="Book Antiqua"/>
          <w:color w:val="000000"/>
          <w:sz w:val="24"/>
          <w:szCs w:val="24"/>
        </w:rPr>
        <w:t>The Local government task force (2003)</w:t>
      </w:r>
      <w:r w:rsidRPr="00D51168">
        <w:rPr>
          <w:rFonts w:ascii="Book Antiqua" w:hAnsi="Book Antiqua" w:cs="Book Antiqua"/>
          <w:color w:val="000000"/>
          <w:sz w:val="24"/>
          <w:szCs w:val="24"/>
        </w:rPr>
        <w:t xml:space="preserve"> of the United Kingdom (UK) once stated that</w:t>
      </w:r>
      <w:r w:rsidR="00E10984" w:rsidRPr="00D51168">
        <w:rPr>
          <w:rFonts w:ascii="Book Antiqua" w:hAnsi="Book Antiqua" w:cs="Book Antiqua"/>
          <w:color w:val="000000"/>
          <w:sz w:val="24"/>
          <w:szCs w:val="24"/>
        </w:rPr>
        <w:t xml:space="preserve"> ‘mega projects’ involving vast sums of capital expenditure before any return on the investment is realised are becoming increasingly common. In principle, the promoter of this type of project is usually a consortium of entrepreneurs, merchant banks, construction firms and governments. Sometimes World Bank funds are available for such projects. The promoter creates a special company (called a Special Purpose Vehicle or SPV) and makes a deal with the ultimate owner (usually a government or other public authority) to undertake the financing, design, construction, furnishing, equipping, commissioning and operation of the project for a fixed period of years. The SPV finances the project through the merchant banks and by offering shares in the scheme (HM Treasury, </w:t>
      </w:r>
      <w:r w:rsidR="00E10984" w:rsidRPr="00D51168">
        <w:rPr>
          <w:rFonts w:ascii="Book Antiqua" w:hAnsi="Book Antiqua" w:cs="Book Antiqua"/>
          <w:color w:val="000000"/>
          <w:sz w:val="24"/>
          <w:szCs w:val="24"/>
        </w:rPr>
        <w:lastRenderedPageBreak/>
        <w:t xml:space="preserve">2002). The capital and finance costs are repaid through the revenue earned over the given number of years set out in the contract. </w:t>
      </w:r>
    </w:p>
    <w:p w:rsidR="00B43FC2" w:rsidRPr="00D51168" w:rsidRDefault="00B43FC2" w:rsidP="00D51168">
      <w:pPr>
        <w:spacing w:line="360" w:lineRule="auto"/>
        <w:jc w:val="both"/>
        <w:rPr>
          <w:rFonts w:ascii="Book Antiqua" w:hAnsi="Book Antiqua" w:cs="Book Antiqua"/>
          <w:color w:val="000000"/>
          <w:sz w:val="24"/>
          <w:szCs w:val="24"/>
        </w:rPr>
      </w:pPr>
      <w:r w:rsidRPr="00D51168">
        <w:rPr>
          <w:rFonts w:ascii="Book Antiqua" w:hAnsi="Book Antiqua" w:cs="Book Antiqua"/>
          <w:color w:val="000000"/>
          <w:sz w:val="24"/>
          <w:szCs w:val="24"/>
        </w:rPr>
        <w:t>In the Zambian context, the PPPU of the Ministry of Finance handles the submissions for PPP projects. As a government wing, they are required to explain the key aspects of these projects such as capital costs, rat</w:t>
      </w:r>
      <w:r w:rsidR="00D51168" w:rsidRPr="00D51168">
        <w:rPr>
          <w:rFonts w:ascii="Book Antiqua" w:hAnsi="Book Antiqua" w:cs="Book Antiqua"/>
          <w:color w:val="000000"/>
          <w:sz w:val="24"/>
          <w:szCs w:val="24"/>
        </w:rPr>
        <w:t>es of return, and periods of concess</w:t>
      </w:r>
      <w:r w:rsidRPr="00D51168">
        <w:rPr>
          <w:rFonts w:ascii="Book Antiqua" w:hAnsi="Book Antiqua" w:cs="Book Antiqua"/>
          <w:color w:val="000000"/>
          <w:sz w:val="24"/>
          <w:szCs w:val="24"/>
        </w:rPr>
        <w:t>ions</w:t>
      </w:r>
      <w:r w:rsidR="00D51168" w:rsidRPr="00D51168">
        <w:rPr>
          <w:rFonts w:ascii="Book Antiqua" w:hAnsi="Book Antiqua" w:cs="Book Antiqua"/>
          <w:color w:val="000000"/>
          <w:sz w:val="24"/>
          <w:szCs w:val="24"/>
        </w:rPr>
        <w:t xml:space="preserve"> given to the private sector business entities. </w:t>
      </w:r>
    </w:p>
    <w:p w:rsidR="00B43FC2" w:rsidRDefault="00B43FC2" w:rsidP="00B43FC2">
      <w:pPr>
        <w:jc w:val="both"/>
        <w:rPr>
          <w:rFonts w:ascii="Book Antiqua" w:hAnsi="Book Antiqua" w:cs="Book Antiqua"/>
          <w:color w:val="000000"/>
        </w:rPr>
      </w:pPr>
    </w:p>
    <w:p w:rsidR="00813D61" w:rsidRPr="00D51168" w:rsidRDefault="00813D61" w:rsidP="00D51168">
      <w:pPr>
        <w:pStyle w:val="Heading2"/>
        <w:spacing w:line="360" w:lineRule="auto"/>
        <w:jc w:val="both"/>
        <w:rPr>
          <w:rFonts w:ascii="Book Antiqua" w:hAnsi="Book Antiqua"/>
          <w:color w:val="auto"/>
          <w:sz w:val="28"/>
          <w:szCs w:val="28"/>
        </w:rPr>
      </w:pPr>
      <w:r w:rsidRPr="00D51168">
        <w:rPr>
          <w:rFonts w:ascii="Book Antiqua" w:hAnsi="Book Antiqua"/>
          <w:color w:val="auto"/>
          <w:sz w:val="28"/>
          <w:szCs w:val="28"/>
        </w:rPr>
        <w:t>The P</w:t>
      </w:r>
      <w:r w:rsidR="00D51168" w:rsidRPr="00D51168">
        <w:rPr>
          <w:rFonts w:ascii="Book Antiqua" w:hAnsi="Book Antiqua"/>
          <w:color w:val="auto"/>
          <w:sz w:val="28"/>
          <w:szCs w:val="28"/>
        </w:rPr>
        <w:t xml:space="preserve">ublic </w:t>
      </w:r>
      <w:r w:rsidRPr="00D51168">
        <w:rPr>
          <w:rFonts w:ascii="Book Antiqua" w:hAnsi="Book Antiqua"/>
          <w:color w:val="auto"/>
          <w:sz w:val="28"/>
          <w:szCs w:val="28"/>
        </w:rPr>
        <w:t>S</w:t>
      </w:r>
      <w:r w:rsidR="00D51168" w:rsidRPr="00D51168">
        <w:rPr>
          <w:rFonts w:ascii="Book Antiqua" w:hAnsi="Book Antiqua"/>
          <w:color w:val="auto"/>
          <w:sz w:val="28"/>
          <w:szCs w:val="28"/>
        </w:rPr>
        <w:t>ector Comparator (PSC) approach for Q</w:t>
      </w:r>
      <w:r w:rsidRPr="00D51168">
        <w:rPr>
          <w:rFonts w:ascii="Book Antiqua" w:hAnsi="Book Antiqua"/>
          <w:color w:val="auto"/>
          <w:sz w:val="28"/>
          <w:szCs w:val="28"/>
        </w:rPr>
        <w:t>uantitative V</w:t>
      </w:r>
      <w:r w:rsidR="00D51168" w:rsidRPr="00D51168">
        <w:rPr>
          <w:rFonts w:ascii="Book Antiqua" w:hAnsi="Book Antiqua"/>
          <w:color w:val="auto"/>
          <w:sz w:val="28"/>
          <w:szCs w:val="28"/>
        </w:rPr>
        <w:t xml:space="preserve">alue for </w:t>
      </w:r>
      <w:r w:rsidRPr="00D51168">
        <w:rPr>
          <w:rFonts w:ascii="Book Antiqua" w:hAnsi="Book Antiqua"/>
          <w:color w:val="auto"/>
          <w:sz w:val="28"/>
          <w:szCs w:val="28"/>
        </w:rPr>
        <w:t>M</w:t>
      </w:r>
      <w:r w:rsidR="00D51168" w:rsidRPr="00D51168">
        <w:rPr>
          <w:rFonts w:ascii="Book Antiqua" w:hAnsi="Book Antiqua"/>
          <w:color w:val="auto"/>
          <w:sz w:val="28"/>
          <w:szCs w:val="28"/>
        </w:rPr>
        <w:t>oney (VfM)</w:t>
      </w:r>
      <w:r w:rsidRPr="00D51168">
        <w:rPr>
          <w:rFonts w:ascii="Book Antiqua" w:hAnsi="Book Antiqua"/>
          <w:color w:val="auto"/>
          <w:sz w:val="28"/>
          <w:szCs w:val="28"/>
        </w:rPr>
        <w:t xml:space="preserve"> assessment </w:t>
      </w:r>
    </w:p>
    <w:p w:rsidR="00053D08" w:rsidRPr="00D51168" w:rsidRDefault="00813D61" w:rsidP="00D51168">
      <w:pPr>
        <w:spacing w:line="360" w:lineRule="auto"/>
        <w:jc w:val="both"/>
        <w:rPr>
          <w:rFonts w:ascii="Book Antiqua" w:hAnsi="Book Antiqua"/>
          <w:sz w:val="24"/>
          <w:szCs w:val="24"/>
        </w:rPr>
      </w:pPr>
      <w:r w:rsidRPr="00D51168">
        <w:rPr>
          <w:rFonts w:ascii="Book Antiqua" w:hAnsi="Book Antiqua"/>
          <w:sz w:val="24"/>
          <w:szCs w:val="24"/>
        </w:rPr>
        <w:t xml:space="preserve"> The PSC (Public Sector Comparator) is a standardised method to assess VFM used around the world as a quantitative benchmark (Grimsey and Lewis, 2005). The PSC is based on a hypothetical reference project, and it describes in detail all costs to the public sector as if the project was to be developed in a traditional way (Akintoye et al, 2003)</w:t>
      </w:r>
      <w:r w:rsidR="00053D08">
        <w:rPr>
          <w:rFonts w:ascii="Book Antiqua" w:hAnsi="Book Antiqua"/>
          <w:sz w:val="24"/>
          <w:szCs w:val="24"/>
        </w:rPr>
        <w:t xml:space="preserve"> as shown in Figure 1.</w:t>
      </w:r>
    </w:p>
    <w:p w:rsidR="006754B7" w:rsidRDefault="00813D61" w:rsidP="00813D61">
      <w:pPr>
        <w:jc w:val="both"/>
      </w:pPr>
      <w:r w:rsidRPr="000A3313">
        <w:object w:dxaOrig="9554" w:dyaOrig="72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15pt;height:312.5pt" o:ole="" o:borderbottomcolor="this">
            <v:imagedata r:id="rId6" o:title=""/>
            <w10:borderbottom type="single" width="4"/>
          </v:shape>
          <o:OLEObject Type="Embed" ProgID="Visio.Drawing.11" ShapeID="_x0000_i1025" DrawAspect="Content" ObjectID="_1364138862" r:id="rId7"/>
        </w:object>
      </w:r>
    </w:p>
    <w:p w:rsidR="00813D61" w:rsidRDefault="00D51168" w:rsidP="00F52A88">
      <w:pPr>
        <w:pStyle w:val="Caption"/>
        <w:jc w:val="both"/>
        <w:rPr>
          <w:rFonts w:ascii="Book Antiqua" w:hAnsi="Book Antiqua"/>
          <w:b w:val="0"/>
          <w:color w:val="auto"/>
          <w:sz w:val="20"/>
          <w:szCs w:val="20"/>
        </w:rPr>
      </w:pPr>
      <w:r w:rsidRPr="00F52A88">
        <w:rPr>
          <w:rFonts w:ascii="Book Antiqua" w:hAnsi="Book Antiqua"/>
          <w:color w:val="auto"/>
          <w:sz w:val="20"/>
          <w:szCs w:val="20"/>
        </w:rPr>
        <w:t xml:space="preserve">Figure </w:t>
      </w:r>
      <w:r w:rsidR="00136A4B" w:rsidRPr="00F52A88">
        <w:rPr>
          <w:rFonts w:ascii="Book Antiqua" w:hAnsi="Book Antiqua"/>
          <w:color w:val="auto"/>
          <w:sz w:val="20"/>
          <w:szCs w:val="20"/>
        </w:rPr>
        <w:fldChar w:fldCharType="begin"/>
      </w:r>
      <w:r w:rsidRPr="00F52A88">
        <w:rPr>
          <w:rFonts w:ascii="Book Antiqua" w:hAnsi="Book Antiqua"/>
          <w:color w:val="auto"/>
          <w:sz w:val="20"/>
          <w:szCs w:val="20"/>
        </w:rPr>
        <w:instrText xml:space="preserve"> SEQ Figure \* ARABIC </w:instrText>
      </w:r>
      <w:r w:rsidR="00136A4B" w:rsidRPr="00F52A88">
        <w:rPr>
          <w:rFonts w:ascii="Book Antiqua" w:hAnsi="Book Antiqua"/>
          <w:color w:val="auto"/>
          <w:sz w:val="20"/>
          <w:szCs w:val="20"/>
        </w:rPr>
        <w:fldChar w:fldCharType="separate"/>
      </w:r>
      <w:r w:rsidRPr="00F52A88">
        <w:rPr>
          <w:rFonts w:ascii="Book Antiqua" w:hAnsi="Book Antiqua"/>
          <w:noProof/>
          <w:color w:val="auto"/>
          <w:sz w:val="20"/>
          <w:szCs w:val="20"/>
        </w:rPr>
        <w:t>1</w:t>
      </w:r>
      <w:r w:rsidR="00136A4B" w:rsidRPr="00F52A88">
        <w:rPr>
          <w:rFonts w:ascii="Book Antiqua" w:hAnsi="Book Antiqua"/>
          <w:color w:val="auto"/>
          <w:sz w:val="20"/>
          <w:szCs w:val="20"/>
        </w:rPr>
        <w:fldChar w:fldCharType="end"/>
      </w:r>
      <w:r w:rsidRPr="00F52A88">
        <w:rPr>
          <w:rFonts w:ascii="Book Antiqua" w:hAnsi="Book Antiqua"/>
          <w:color w:val="auto"/>
          <w:sz w:val="20"/>
          <w:szCs w:val="20"/>
        </w:rPr>
        <w:t xml:space="preserve">: </w:t>
      </w:r>
      <w:r w:rsidR="00813D61" w:rsidRPr="00F52A88">
        <w:rPr>
          <w:rFonts w:ascii="Book Antiqua" w:hAnsi="Book Antiqua"/>
          <w:color w:val="auto"/>
          <w:sz w:val="20"/>
          <w:szCs w:val="20"/>
        </w:rPr>
        <w:t xml:space="preserve"> </w:t>
      </w:r>
      <w:r w:rsidR="00813D61" w:rsidRPr="00F52A88">
        <w:rPr>
          <w:rFonts w:ascii="Book Antiqua" w:hAnsi="Book Antiqua"/>
          <w:b w:val="0"/>
          <w:color w:val="auto"/>
          <w:sz w:val="20"/>
          <w:szCs w:val="20"/>
        </w:rPr>
        <w:t>VFM assessment using the PSC (</w:t>
      </w:r>
      <w:r w:rsidRPr="00F52A88">
        <w:rPr>
          <w:rFonts w:ascii="Book Antiqua" w:hAnsi="Book Antiqua"/>
          <w:b w:val="0"/>
          <w:bCs w:val="0"/>
          <w:color w:val="auto"/>
          <w:sz w:val="20"/>
          <w:szCs w:val="20"/>
        </w:rPr>
        <w:t xml:space="preserve">Adapted: </w:t>
      </w:r>
      <w:r w:rsidR="00F52A88" w:rsidRPr="00F52A88">
        <w:rPr>
          <w:rFonts w:ascii="Book Antiqua" w:hAnsi="Book Antiqua"/>
          <w:b w:val="0"/>
          <w:bCs w:val="0"/>
          <w:color w:val="auto"/>
          <w:sz w:val="20"/>
          <w:szCs w:val="20"/>
        </w:rPr>
        <w:t xml:space="preserve"> Grimsey and Lewis, </w:t>
      </w:r>
      <w:r w:rsidR="006754B7" w:rsidRPr="00F52A88">
        <w:rPr>
          <w:rFonts w:ascii="Book Antiqua" w:hAnsi="Book Antiqua"/>
          <w:b w:val="0"/>
          <w:bCs w:val="0"/>
          <w:color w:val="auto"/>
          <w:sz w:val="20"/>
          <w:szCs w:val="20"/>
        </w:rPr>
        <w:t>2005</w:t>
      </w:r>
      <w:r w:rsidR="00813D61" w:rsidRPr="00F52A88">
        <w:rPr>
          <w:rFonts w:ascii="Book Antiqua" w:hAnsi="Book Antiqua"/>
          <w:b w:val="0"/>
          <w:color w:val="auto"/>
          <w:sz w:val="20"/>
          <w:szCs w:val="20"/>
        </w:rPr>
        <w:t xml:space="preserve">) </w:t>
      </w:r>
    </w:p>
    <w:p w:rsidR="00053D08" w:rsidRPr="00053D08" w:rsidRDefault="00053D08" w:rsidP="00053D08">
      <w:pPr>
        <w:spacing w:line="360" w:lineRule="auto"/>
        <w:jc w:val="both"/>
        <w:rPr>
          <w:rFonts w:ascii="Book Antiqua" w:hAnsi="Book Antiqua"/>
          <w:sz w:val="24"/>
          <w:szCs w:val="24"/>
        </w:rPr>
      </w:pPr>
      <w:r>
        <w:rPr>
          <w:rFonts w:ascii="Book Antiqua" w:hAnsi="Book Antiqua"/>
          <w:sz w:val="24"/>
          <w:szCs w:val="24"/>
        </w:rPr>
        <w:lastRenderedPageBreak/>
        <w:t xml:space="preserve">The PSC </w:t>
      </w:r>
      <w:r w:rsidRPr="00053D08">
        <w:rPr>
          <w:rFonts w:ascii="Book Antiqua" w:hAnsi="Book Antiqua"/>
          <w:sz w:val="24"/>
          <w:szCs w:val="24"/>
        </w:rPr>
        <w:t>discounts cost in a form of net present costs (NPC)</w:t>
      </w:r>
      <w:r>
        <w:rPr>
          <w:rFonts w:ascii="Book Antiqua" w:hAnsi="Book Antiqua"/>
          <w:sz w:val="24"/>
          <w:szCs w:val="24"/>
        </w:rPr>
        <w:t xml:space="preserve"> (net present value, NPV)</w:t>
      </w:r>
      <w:r w:rsidRPr="00053D08">
        <w:rPr>
          <w:rFonts w:ascii="Book Antiqua" w:hAnsi="Book Antiqua"/>
          <w:sz w:val="24"/>
          <w:szCs w:val="24"/>
        </w:rPr>
        <w:t xml:space="preserve"> to account for future uncertainty and simplify comparison (Grimsey and Lewis, 2005; Ball and King, 2006). Calculating the PSC for a project would include the four key components presented in Figure 1. Ultimately the surveyor needs to know key sources of capital costs as well as the operating (running) costs for the facility.</w:t>
      </w:r>
      <w:r>
        <w:rPr>
          <w:rFonts w:ascii="Book Antiqua" w:hAnsi="Book Antiqua"/>
          <w:sz w:val="24"/>
          <w:szCs w:val="24"/>
        </w:rPr>
        <w:t xml:space="preserve"> In principle:</w:t>
      </w:r>
    </w:p>
    <w:p w:rsidR="00813D61" w:rsidRPr="00F52A88" w:rsidRDefault="00813D61" w:rsidP="00F52A88">
      <w:pPr>
        <w:numPr>
          <w:ilvl w:val="0"/>
          <w:numId w:val="30"/>
        </w:numPr>
        <w:spacing w:line="360" w:lineRule="auto"/>
        <w:jc w:val="both"/>
        <w:rPr>
          <w:rFonts w:ascii="Book Antiqua" w:hAnsi="Book Antiqua"/>
          <w:sz w:val="24"/>
          <w:szCs w:val="24"/>
        </w:rPr>
      </w:pPr>
      <w:r w:rsidRPr="00F52A88">
        <w:rPr>
          <w:rFonts w:ascii="Book Antiqua" w:hAnsi="Book Antiqua"/>
          <w:sz w:val="24"/>
          <w:szCs w:val="24"/>
        </w:rPr>
        <w:t xml:space="preserve">The PSC base costing includes capital (initial and lifecycle cost) and externalities which covers the cost associated with project development but not covered by in </w:t>
      </w:r>
      <w:r w:rsidR="004D7A94">
        <w:rPr>
          <w:rFonts w:ascii="Book Antiqua" w:hAnsi="Book Antiqua"/>
          <w:sz w:val="24"/>
          <w:szCs w:val="24"/>
        </w:rPr>
        <w:t>PPP</w:t>
      </w:r>
      <w:r w:rsidR="004D7A94" w:rsidRPr="00F52A88">
        <w:rPr>
          <w:rFonts w:ascii="Book Antiqua" w:hAnsi="Book Antiqua"/>
          <w:sz w:val="24"/>
          <w:szCs w:val="24"/>
        </w:rPr>
        <w:t xml:space="preserve"> </w:t>
      </w:r>
      <w:r w:rsidRPr="00F52A88">
        <w:rPr>
          <w:rFonts w:ascii="Book Antiqua" w:hAnsi="Book Antiqua"/>
          <w:sz w:val="24"/>
          <w:szCs w:val="24"/>
        </w:rPr>
        <w:t xml:space="preserve">service charges (DH, </w:t>
      </w:r>
      <w:r w:rsidR="001F6024" w:rsidRPr="00F52A88">
        <w:rPr>
          <w:rFonts w:ascii="Book Antiqua" w:hAnsi="Book Antiqua"/>
          <w:sz w:val="24"/>
          <w:szCs w:val="24"/>
        </w:rPr>
        <w:t>200</w:t>
      </w:r>
      <w:r w:rsidR="001F6024">
        <w:rPr>
          <w:rFonts w:ascii="Book Antiqua" w:hAnsi="Book Antiqua"/>
          <w:sz w:val="24"/>
          <w:szCs w:val="24"/>
        </w:rPr>
        <w:t>4</w:t>
      </w:r>
      <w:r w:rsidRPr="00F52A88">
        <w:rPr>
          <w:rFonts w:ascii="Book Antiqua" w:hAnsi="Book Antiqua"/>
          <w:sz w:val="24"/>
          <w:szCs w:val="24"/>
        </w:rPr>
        <w:t>)</w:t>
      </w:r>
    </w:p>
    <w:p w:rsidR="00813D61" w:rsidRPr="00F52A88" w:rsidRDefault="00813D61" w:rsidP="00F52A88">
      <w:pPr>
        <w:numPr>
          <w:ilvl w:val="0"/>
          <w:numId w:val="30"/>
        </w:numPr>
        <w:spacing w:line="360" w:lineRule="auto"/>
        <w:jc w:val="both"/>
        <w:rPr>
          <w:rFonts w:ascii="Book Antiqua" w:hAnsi="Book Antiqua"/>
          <w:sz w:val="24"/>
          <w:szCs w:val="24"/>
        </w:rPr>
      </w:pPr>
      <w:r w:rsidRPr="00F52A88">
        <w:rPr>
          <w:rFonts w:ascii="Book Antiqua" w:hAnsi="Book Antiqua"/>
          <w:sz w:val="24"/>
          <w:szCs w:val="24"/>
        </w:rPr>
        <w:t xml:space="preserve">A cash flow for competitive neutrality accounts for net competitive advantages that accrue to public ownership and including equivalent costs that would otherwise be incurred, such as exemption from taxes that are only levied on private enterprises. This allows a like-with-like comparison with PFI bids. </w:t>
      </w:r>
    </w:p>
    <w:p w:rsidR="00813D61" w:rsidRDefault="00813D61" w:rsidP="00F52A88">
      <w:pPr>
        <w:numPr>
          <w:ilvl w:val="0"/>
          <w:numId w:val="30"/>
        </w:numPr>
        <w:spacing w:line="360" w:lineRule="auto"/>
        <w:jc w:val="both"/>
        <w:rPr>
          <w:rFonts w:ascii="Book Antiqua" w:hAnsi="Book Antiqua"/>
          <w:sz w:val="24"/>
          <w:szCs w:val="24"/>
        </w:rPr>
      </w:pPr>
      <w:r w:rsidRPr="00F52A88">
        <w:rPr>
          <w:rFonts w:ascii="Book Antiqua" w:hAnsi="Book Antiqua"/>
          <w:sz w:val="24"/>
          <w:szCs w:val="24"/>
        </w:rPr>
        <w:t xml:space="preserve">Risk is an important component of the PSC and typically categorized as retained or transferable risks. Retained risks are those that the public sector agency would bear regardless of the procurement arrangement. Transferrable risks are those proposed for transfer to the private partner in the </w:t>
      </w:r>
      <w:r w:rsidR="004D7A94">
        <w:rPr>
          <w:rFonts w:ascii="Book Antiqua" w:hAnsi="Book Antiqua"/>
          <w:sz w:val="24"/>
          <w:szCs w:val="24"/>
        </w:rPr>
        <w:t xml:space="preserve">PPP </w:t>
      </w:r>
      <w:r w:rsidRPr="00F52A88">
        <w:rPr>
          <w:rFonts w:ascii="Book Antiqua" w:hAnsi="Book Antiqua"/>
          <w:sz w:val="24"/>
          <w:szCs w:val="24"/>
        </w:rPr>
        <w:t xml:space="preserve">alternative. A comprehensive list of these risks can be </w:t>
      </w:r>
      <w:r w:rsidR="006C7D95">
        <w:rPr>
          <w:rFonts w:ascii="Book Antiqua" w:hAnsi="Book Antiqua"/>
          <w:sz w:val="24"/>
          <w:szCs w:val="24"/>
        </w:rPr>
        <w:t>found from Akintoye et al (2003</w:t>
      </w:r>
      <w:r w:rsidR="004D7A94">
        <w:rPr>
          <w:rFonts w:ascii="Book Antiqua" w:hAnsi="Book Antiqua"/>
          <w:sz w:val="24"/>
          <w:szCs w:val="24"/>
        </w:rPr>
        <w:t>b</w:t>
      </w:r>
      <w:r w:rsidR="006C7D95">
        <w:rPr>
          <w:rFonts w:ascii="Book Antiqua" w:hAnsi="Book Antiqua"/>
          <w:sz w:val="24"/>
          <w:szCs w:val="24"/>
        </w:rPr>
        <w:t>)</w:t>
      </w:r>
    </w:p>
    <w:p w:rsidR="00720A37" w:rsidRPr="00F52A88" w:rsidRDefault="00720A37" w:rsidP="00720A37">
      <w:pPr>
        <w:spacing w:line="360" w:lineRule="auto"/>
        <w:jc w:val="both"/>
        <w:rPr>
          <w:rFonts w:ascii="Book Antiqua" w:hAnsi="Book Antiqua"/>
          <w:sz w:val="24"/>
          <w:szCs w:val="24"/>
        </w:rPr>
      </w:pPr>
      <w:r>
        <w:rPr>
          <w:rFonts w:ascii="Book Antiqua" w:hAnsi="Book Antiqua"/>
          <w:sz w:val="24"/>
          <w:szCs w:val="24"/>
        </w:rPr>
        <w:t xml:space="preserve">The main goal for the surveying profession would be to examine projects from the angle of cost and value to the public sector using a transparent method such as the PSC. This process is crucial for Zambia when you consider the key financial indicators of the Zambian Economy, as is the case in the following section. </w:t>
      </w:r>
    </w:p>
    <w:p w:rsidR="00813D61" w:rsidRPr="006C7D95" w:rsidRDefault="00813D61" w:rsidP="006C7D95">
      <w:pPr>
        <w:pStyle w:val="Heading2"/>
        <w:spacing w:line="360" w:lineRule="auto"/>
        <w:jc w:val="both"/>
        <w:rPr>
          <w:rFonts w:ascii="Book Antiqua" w:hAnsi="Book Antiqua"/>
          <w:color w:val="auto"/>
          <w:sz w:val="28"/>
          <w:szCs w:val="28"/>
        </w:rPr>
      </w:pPr>
      <w:r w:rsidRPr="006C7D95">
        <w:rPr>
          <w:rFonts w:ascii="Book Antiqua" w:hAnsi="Book Antiqua"/>
          <w:color w:val="auto"/>
          <w:sz w:val="28"/>
          <w:szCs w:val="28"/>
        </w:rPr>
        <w:t>Simple Regression Analysis of the Cost Indicators in Zambia</w:t>
      </w:r>
    </w:p>
    <w:p w:rsidR="00813D61" w:rsidRDefault="00720A37" w:rsidP="00F25700">
      <w:pPr>
        <w:spacing w:line="360" w:lineRule="auto"/>
        <w:jc w:val="both"/>
        <w:rPr>
          <w:rFonts w:ascii="Book Antiqua" w:hAnsi="Book Antiqua"/>
          <w:color w:val="000000"/>
          <w:sz w:val="24"/>
          <w:szCs w:val="24"/>
        </w:rPr>
      </w:pPr>
      <w:r>
        <w:rPr>
          <w:rFonts w:ascii="Book Antiqua" w:hAnsi="Book Antiqua"/>
          <w:color w:val="000000"/>
          <w:sz w:val="24"/>
          <w:szCs w:val="24"/>
        </w:rPr>
        <w:t>Figure 2 shows</w:t>
      </w:r>
      <w:r w:rsidR="00813D61" w:rsidRPr="00F25700">
        <w:rPr>
          <w:rFonts w:ascii="Book Antiqua" w:hAnsi="Book Antiqua"/>
          <w:color w:val="000000"/>
          <w:sz w:val="24"/>
          <w:szCs w:val="24"/>
        </w:rPr>
        <w:t xml:space="preserve"> the economic indicators for Zambia – specifically inflation, interest rates and the exchange rate of the Kwacha to the US dollar. These have been looked at as they are macro economic factors that impact everyone and have a bearing on Zambian construction costs.</w:t>
      </w:r>
    </w:p>
    <w:p w:rsidR="00F52A88" w:rsidRPr="00F25700" w:rsidRDefault="00F52A88" w:rsidP="00F25700">
      <w:pPr>
        <w:spacing w:line="360" w:lineRule="auto"/>
        <w:jc w:val="both"/>
        <w:rPr>
          <w:rFonts w:ascii="Book Antiqua" w:hAnsi="Book Antiqua"/>
          <w:color w:val="000000"/>
          <w:sz w:val="24"/>
          <w:szCs w:val="24"/>
        </w:rPr>
      </w:pPr>
    </w:p>
    <w:p w:rsidR="00813D61" w:rsidRDefault="00813D61" w:rsidP="00813D61">
      <w:pPr>
        <w:rPr>
          <w:color w:val="000000"/>
          <w:sz w:val="17"/>
          <w:szCs w:val="17"/>
        </w:rPr>
      </w:pPr>
      <w:r w:rsidRPr="00C356B1">
        <w:rPr>
          <w:noProof/>
          <w:color w:val="000000"/>
          <w:sz w:val="17"/>
          <w:szCs w:val="17"/>
          <w:lang w:val="en-GB" w:eastAsia="en-GB" w:bidi="ar-SA"/>
        </w:rPr>
        <w:drawing>
          <wp:inline distT="0" distB="0" distL="0" distR="0">
            <wp:extent cx="5445125" cy="3566160"/>
            <wp:effectExtent l="19050" t="0" r="22225"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13D61" w:rsidRPr="00F25700" w:rsidRDefault="00F25700" w:rsidP="00F25700">
      <w:pPr>
        <w:pStyle w:val="Caption"/>
        <w:jc w:val="both"/>
        <w:rPr>
          <w:rFonts w:ascii="Book Antiqua" w:hAnsi="Book Antiqua"/>
          <w:b w:val="0"/>
          <w:color w:val="auto"/>
          <w:sz w:val="20"/>
          <w:szCs w:val="20"/>
        </w:rPr>
      </w:pPr>
      <w:r w:rsidRPr="00F25700">
        <w:rPr>
          <w:rFonts w:ascii="Book Antiqua" w:hAnsi="Book Antiqua"/>
          <w:color w:val="auto"/>
          <w:sz w:val="20"/>
          <w:szCs w:val="20"/>
        </w:rPr>
        <w:t xml:space="preserve">Figure </w:t>
      </w:r>
      <w:r w:rsidR="00136A4B" w:rsidRPr="00F25700">
        <w:rPr>
          <w:rFonts w:ascii="Book Antiqua" w:hAnsi="Book Antiqua"/>
          <w:color w:val="auto"/>
          <w:sz w:val="20"/>
          <w:szCs w:val="20"/>
        </w:rPr>
        <w:fldChar w:fldCharType="begin"/>
      </w:r>
      <w:r w:rsidRPr="00F25700">
        <w:rPr>
          <w:rFonts w:ascii="Book Antiqua" w:hAnsi="Book Antiqua"/>
          <w:color w:val="auto"/>
          <w:sz w:val="20"/>
          <w:szCs w:val="20"/>
        </w:rPr>
        <w:instrText xml:space="preserve"> SEQ Figure \* ARABIC </w:instrText>
      </w:r>
      <w:r w:rsidR="00136A4B" w:rsidRPr="00F25700">
        <w:rPr>
          <w:rFonts w:ascii="Book Antiqua" w:hAnsi="Book Antiqua"/>
          <w:color w:val="auto"/>
          <w:sz w:val="20"/>
          <w:szCs w:val="20"/>
        </w:rPr>
        <w:fldChar w:fldCharType="separate"/>
      </w:r>
      <w:r w:rsidR="00D51168">
        <w:rPr>
          <w:rFonts w:ascii="Book Antiqua" w:hAnsi="Book Antiqua"/>
          <w:noProof/>
          <w:color w:val="auto"/>
          <w:sz w:val="20"/>
          <w:szCs w:val="20"/>
        </w:rPr>
        <w:t>2</w:t>
      </w:r>
      <w:r w:rsidR="00136A4B" w:rsidRPr="00F25700">
        <w:rPr>
          <w:rFonts w:ascii="Book Antiqua" w:hAnsi="Book Antiqua"/>
          <w:color w:val="auto"/>
          <w:sz w:val="20"/>
          <w:szCs w:val="20"/>
        </w:rPr>
        <w:fldChar w:fldCharType="end"/>
      </w:r>
      <w:r w:rsidRPr="00F25700">
        <w:rPr>
          <w:rFonts w:ascii="Book Antiqua" w:hAnsi="Book Antiqua"/>
          <w:color w:val="auto"/>
          <w:sz w:val="20"/>
          <w:szCs w:val="20"/>
        </w:rPr>
        <w:t>:</w:t>
      </w:r>
      <w:r w:rsidRPr="00F25700">
        <w:rPr>
          <w:rFonts w:ascii="Book Antiqua" w:hAnsi="Book Antiqua"/>
          <w:b w:val="0"/>
          <w:color w:val="auto"/>
          <w:sz w:val="20"/>
          <w:szCs w:val="20"/>
        </w:rPr>
        <w:t xml:space="preserve"> Economic indicators for Zambia (</w:t>
      </w:r>
      <w:r w:rsidR="00813D61" w:rsidRPr="00F25700">
        <w:rPr>
          <w:rFonts w:ascii="Book Antiqua" w:hAnsi="Book Antiqua"/>
          <w:b w:val="0"/>
          <w:color w:val="auto"/>
          <w:sz w:val="20"/>
          <w:szCs w:val="20"/>
        </w:rPr>
        <w:t xml:space="preserve">Source: World </w:t>
      </w:r>
      <w:r w:rsidR="00720A37" w:rsidRPr="00F25700">
        <w:rPr>
          <w:rFonts w:ascii="Book Antiqua" w:hAnsi="Book Antiqua"/>
          <w:b w:val="0"/>
          <w:color w:val="auto"/>
          <w:sz w:val="20"/>
          <w:szCs w:val="20"/>
        </w:rPr>
        <w:t>Bank and</w:t>
      </w:r>
      <w:r w:rsidR="00813D61" w:rsidRPr="00F25700">
        <w:rPr>
          <w:rFonts w:ascii="Book Antiqua" w:hAnsi="Book Antiqua"/>
          <w:b w:val="0"/>
          <w:color w:val="auto"/>
          <w:sz w:val="20"/>
          <w:szCs w:val="20"/>
        </w:rPr>
        <w:t xml:space="preserve"> Datastream</w:t>
      </w:r>
      <w:r w:rsidRPr="00F25700">
        <w:rPr>
          <w:rFonts w:ascii="Book Antiqua" w:hAnsi="Book Antiqua"/>
          <w:b w:val="0"/>
          <w:color w:val="auto"/>
          <w:sz w:val="20"/>
          <w:szCs w:val="20"/>
        </w:rPr>
        <w:t>, 2011)</w:t>
      </w:r>
    </w:p>
    <w:p w:rsidR="00F25700" w:rsidRDefault="00F25700" w:rsidP="00F25700">
      <w:pPr>
        <w:spacing w:line="360" w:lineRule="auto"/>
        <w:jc w:val="both"/>
        <w:rPr>
          <w:rFonts w:ascii="Book Antiqua" w:hAnsi="Book Antiqua"/>
          <w:sz w:val="24"/>
          <w:szCs w:val="24"/>
        </w:rPr>
      </w:pPr>
    </w:p>
    <w:p w:rsidR="00813D61" w:rsidRPr="00F25700" w:rsidRDefault="00720A37" w:rsidP="00F25700">
      <w:pPr>
        <w:spacing w:line="360" w:lineRule="auto"/>
        <w:jc w:val="both"/>
        <w:rPr>
          <w:rFonts w:ascii="Book Antiqua" w:hAnsi="Book Antiqua"/>
          <w:sz w:val="24"/>
          <w:szCs w:val="24"/>
        </w:rPr>
      </w:pPr>
      <w:r>
        <w:rPr>
          <w:rFonts w:ascii="Book Antiqua" w:hAnsi="Book Antiqua"/>
          <w:sz w:val="24"/>
          <w:szCs w:val="24"/>
        </w:rPr>
        <w:t>When the financial indicat</w:t>
      </w:r>
      <w:r w:rsidR="006938EA">
        <w:rPr>
          <w:rFonts w:ascii="Book Antiqua" w:hAnsi="Book Antiqua"/>
          <w:sz w:val="24"/>
          <w:szCs w:val="24"/>
        </w:rPr>
        <w:t>or</w:t>
      </w:r>
      <w:r>
        <w:rPr>
          <w:rFonts w:ascii="Book Antiqua" w:hAnsi="Book Antiqua"/>
          <w:sz w:val="24"/>
          <w:szCs w:val="24"/>
        </w:rPr>
        <w:t xml:space="preserve">s are correlated, we can deduce the true cost of construction. For instance, </w:t>
      </w:r>
      <w:r w:rsidR="00813D61" w:rsidRPr="00F25700">
        <w:rPr>
          <w:rFonts w:ascii="Book Antiqua" w:hAnsi="Book Antiqua"/>
          <w:sz w:val="24"/>
          <w:szCs w:val="24"/>
        </w:rPr>
        <w:t xml:space="preserve">Table 1 reveals that the foreign exchange rate (US$ per Zambian Kwacha) is highly correlated with both </w:t>
      </w:r>
      <w:r w:rsidR="006938EA">
        <w:rPr>
          <w:rFonts w:ascii="Book Antiqua" w:hAnsi="Book Antiqua"/>
          <w:sz w:val="24"/>
          <w:szCs w:val="24"/>
        </w:rPr>
        <w:t>i</w:t>
      </w:r>
      <w:r w:rsidR="00813D61" w:rsidRPr="00F25700">
        <w:rPr>
          <w:rFonts w:ascii="Book Antiqua" w:hAnsi="Book Antiqua"/>
          <w:sz w:val="24"/>
          <w:szCs w:val="24"/>
        </w:rPr>
        <w:t>nflation and interest rates at r=0.848; p &lt;0.001 and r = 0.733; p = 0.001 respectively. This is an indication that both inflation and interest rates are valuable in explaining the foreign exchange rates. This imp</w:t>
      </w:r>
      <w:r w:rsidR="00F52A88">
        <w:rPr>
          <w:rFonts w:ascii="Book Antiqua" w:hAnsi="Book Antiqua"/>
          <w:sz w:val="24"/>
          <w:szCs w:val="24"/>
        </w:rPr>
        <w:t>l</w:t>
      </w:r>
      <w:r w:rsidR="00813D61" w:rsidRPr="00F25700">
        <w:rPr>
          <w:rFonts w:ascii="Book Antiqua" w:hAnsi="Book Antiqua"/>
          <w:sz w:val="24"/>
          <w:szCs w:val="24"/>
        </w:rPr>
        <w:t>ies that the Zambian Kwacha will appreciate (depreciate) against the US dollar if rates of inflation or interest rise (or fall). The correlation for the foreign exchange rate and both inflation and interest rates in 0.855</w:t>
      </w:r>
      <w:r>
        <w:rPr>
          <w:rFonts w:ascii="Book Antiqua" w:hAnsi="Book Antiqua"/>
          <w:sz w:val="24"/>
          <w:szCs w:val="24"/>
        </w:rPr>
        <w:t xml:space="preserve"> (See Table 1 and 2)</w:t>
      </w:r>
      <w:r w:rsidR="00813D61" w:rsidRPr="00F25700">
        <w:rPr>
          <w:rFonts w:ascii="Book Antiqua" w:hAnsi="Book Antiqua"/>
          <w:sz w:val="24"/>
          <w:szCs w:val="24"/>
        </w:rPr>
        <w:t>. Given a rate of inflation and interest rate, the foreign exchange rate can be estimated from the regression model with the formula below:</w:t>
      </w:r>
    </w:p>
    <w:p w:rsidR="00AA467C" w:rsidRPr="00AA467C" w:rsidRDefault="00AA467C" w:rsidP="00AA467C">
      <w:pPr>
        <w:rPr>
          <w:rFonts w:eastAsiaTheme="minorEastAsia"/>
          <w:b/>
          <w:color w:val="000000"/>
          <w:sz w:val="24"/>
          <w:szCs w:val="24"/>
        </w:rPr>
      </w:pPr>
      <m:oMathPara>
        <m:oMath>
          <m:r>
            <m:rPr>
              <m:sty m:val="bi"/>
            </m:rPr>
            <w:rPr>
              <w:rFonts w:ascii="Cambria Math" w:hAnsi="Cambria Math"/>
              <w:color w:val="000000"/>
              <w:sz w:val="24"/>
              <w:szCs w:val="24"/>
            </w:rPr>
            <m:t xml:space="preserve">y= </m:t>
          </m:r>
          <m:sSub>
            <m:sSubPr>
              <m:ctrlPr>
                <w:rPr>
                  <w:rFonts w:ascii="Cambria Math" w:hAnsi="Cambria Math"/>
                  <w:b/>
                  <w:i/>
                  <w:color w:val="000000"/>
                  <w:sz w:val="24"/>
                  <w:szCs w:val="24"/>
                </w:rPr>
              </m:ctrlPr>
            </m:sSubPr>
            <m:e>
              <m:r>
                <m:rPr>
                  <m:sty m:val="bi"/>
                </m:rPr>
                <w:rPr>
                  <w:rFonts w:ascii="Cambria Math" w:hAnsi="Cambria Math"/>
                  <w:color w:val="000000"/>
                  <w:sz w:val="24"/>
                  <w:szCs w:val="24"/>
                </w:rPr>
                <m:t>β</m:t>
              </m:r>
            </m:e>
            <m:sub>
              <m:r>
                <m:rPr>
                  <m:sty m:val="bi"/>
                </m:rPr>
                <w:rPr>
                  <w:rFonts w:ascii="Cambria Math" w:hAnsi="Cambria Math"/>
                  <w:color w:val="000000"/>
                  <w:sz w:val="24"/>
                  <w:szCs w:val="24"/>
                </w:rPr>
                <m:t xml:space="preserve">0 </m:t>
              </m:r>
            </m:sub>
          </m:sSub>
          <m:r>
            <m:rPr>
              <m:sty m:val="bi"/>
            </m:rPr>
            <w:rPr>
              <w:rFonts w:ascii="Cambria Math" w:hAnsi="Cambria Math"/>
              <w:color w:val="000000"/>
              <w:sz w:val="24"/>
              <w:szCs w:val="24"/>
            </w:rPr>
            <m:t xml:space="preserve"> </m:t>
          </m:r>
          <m:sSub>
            <m:sSubPr>
              <m:ctrlPr>
                <w:rPr>
                  <w:rFonts w:ascii="Cambria Math" w:hAnsi="Cambria Math"/>
                  <w:b/>
                  <w:i/>
                  <w:color w:val="000000"/>
                  <w:sz w:val="24"/>
                  <w:szCs w:val="24"/>
                </w:rPr>
              </m:ctrlPr>
            </m:sSubPr>
            <m:e>
              <m:sSub>
                <m:sSubPr>
                  <m:ctrlPr>
                    <w:rPr>
                      <w:rFonts w:ascii="Cambria Math" w:hAnsi="Cambria Math"/>
                      <w:b/>
                      <w:i/>
                      <w:color w:val="000000"/>
                      <w:sz w:val="24"/>
                      <w:szCs w:val="24"/>
                    </w:rPr>
                  </m:ctrlPr>
                </m:sSubPr>
                <m:e>
                  <m:r>
                    <m:rPr>
                      <m:sty m:val="bi"/>
                    </m:rPr>
                    <w:rPr>
                      <w:rFonts w:ascii="Cambria Math" w:hAnsi="Cambria Math"/>
                      <w:color w:val="000000"/>
                      <w:sz w:val="24"/>
                      <w:szCs w:val="24"/>
                    </w:rPr>
                    <m:t>+   β</m:t>
                  </m:r>
                </m:e>
                <m:sub>
                  <m:r>
                    <m:rPr>
                      <m:sty m:val="bi"/>
                    </m:rPr>
                    <w:rPr>
                      <w:rFonts w:ascii="Cambria Math" w:hAnsi="Cambria Math"/>
                      <w:color w:val="000000"/>
                      <w:sz w:val="24"/>
                      <w:szCs w:val="24"/>
                    </w:rPr>
                    <m:t>1</m:t>
                  </m:r>
                </m:sub>
              </m:sSub>
              <m:r>
                <m:rPr>
                  <m:sty m:val="bi"/>
                </m:rPr>
                <w:rPr>
                  <w:rFonts w:ascii="Cambria Math" w:hAnsi="Cambria Math"/>
                  <w:color w:val="000000"/>
                  <w:sz w:val="24"/>
                  <w:szCs w:val="24"/>
                </w:rPr>
                <m:t>x</m:t>
              </m:r>
            </m:e>
            <m:sub>
              <m:r>
                <m:rPr>
                  <m:sty m:val="bi"/>
                </m:rPr>
                <w:rPr>
                  <w:rFonts w:ascii="Cambria Math" w:hAnsi="Cambria Math"/>
                  <w:color w:val="000000"/>
                  <w:sz w:val="24"/>
                  <w:szCs w:val="24"/>
                </w:rPr>
                <m:t>1</m:t>
              </m:r>
            </m:sub>
          </m:sSub>
          <m:sSub>
            <m:sSubPr>
              <m:ctrlPr>
                <w:rPr>
                  <w:rFonts w:ascii="Cambria Math" w:hAnsi="Cambria Math"/>
                  <w:b/>
                  <w:i/>
                  <w:color w:val="000000"/>
                  <w:sz w:val="24"/>
                  <w:szCs w:val="24"/>
                </w:rPr>
              </m:ctrlPr>
            </m:sSubPr>
            <m:e>
              <m:sSub>
                <m:sSubPr>
                  <m:ctrlPr>
                    <w:rPr>
                      <w:rFonts w:ascii="Cambria Math" w:hAnsi="Cambria Math"/>
                      <w:b/>
                      <w:i/>
                      <w:color w:val="000000"/>
                      <w:sz w:val="24"/>
                      <w:szCs w:val="24"/>
                    </w:rPr>
                  </m:ctrlPr>
                </m:sSubPr>
                <m:e>
                  <m:r>
                    <m:rPr>
                      <m:sty m:val="bi"/>
                    </m:rPr>
                    <w:rPr>
                      <w:rFonts w:ascii="Cambria Math" w:hAnsi="Cambria Math"/>
                      <w:color w:val="000000"/>
                      <w:sz w:val="24"/>
                      <w:szCs w:val="24"/>
                    </w:rPr>
                    <m:t xml:space="preserve">  +   β</m:t>
                  </m:r>
                </m:e>
                <m:sub>
                  <m:r>
                    <m:rPr>
                      <m:sty m:val="bi"/>
                    </m:rPr>
                    <w:rPr>
                      <w:rFonts w:ascii="Cambria Math" w:hAnsi="Cambria Math"/>
                      <w:color w:val="000000"/>
                      <w:sz w:val="24"/>
                      <w:szCs w:val="24"/>
                    </w:rPr>
                    <m:t>2</m:t>
                  </m:r>
                </m:sub>
              </m:sSub>
              <m:r>
                <m:rPr>
                  <m:sty m:val="bi"/>
                </m:rPr>
                <w:rPr>
                  <w:rFonts w:ascii="Cambria Math" w:hAnsi="Cambria Math"/>
                  <w:color w:val="000000"/>
                  <w:sz w:val="24"/>
                  <w:szCs w:val="24"/>
                </w:rPr>
                <m:t>x</m:t>
              </m:r>
            </m:e>
            <m:sub>
              <m:r>
                <m:rPr>
                  <m:sty m:val="bi"/>
                </m:rPr>
                <w:rPr>
                  <w:rFonts w:ascii="Cambria Math" w:hAnsi="Cambria Math"/>
                  <w:color w:val="000000"/>
                  <w:sz w:val="24"/>
                  <w:szCs w:val="24"/>
                </w:rPr>
                <m:t>2</m:t>
              </m:r>
            </m:sub>
          </m:sSub>
        </m:oMath>
      </m:oMathPara>
    </w:p>
    <w:p w:rsidR="00AA467C" w:rsidRDefault="00AA467C" w:rsidP="00AA467C">
      <w:pPr>
        <w:pStyle w:val="Caption"/>
        <w:jc w:val="both"/>
        <w:rPr>
          <w:rFonts w:ascii="Book Antiqua" w:hAnsi="Book Antiqua"/>
          <w:b w:val="0"/>
          <w:color w:val="auto"/>
          <w:sz w:val="20"/>
          <w:szCs w:val="20"/>
        </w:rPr>
      </w:pPr>
      <w:r w:rsidRPr="00AA467C">
        <w:rPr>
          <w:rFonts w:ascii="Book Antiqua" w:hAnsi="Book Antiqua"/>
          <w:color w:val="auto"/>
          <w:sz w:val="20"/>
          <w:szCs w:val="20"/>
        </w:rPr>
        <w:t xml:space="preserve">Equation </w:t>
      </w:r>
      <w:r w:rsidR="00136A4B" w:rsidRPr="00AA467C">
        <w:rPr>
          <w:rFonts w:ascii="Book Antiqua" w:hAnsi="Book Antiqua"/>
          <w:color w:val="auto"/>
          <w:sz w:val="20"/>
          <w:szCs w:val="20"/>
        </w:rPr>
        <w:fldChar w:fldCharType="begin"/>
      </w:r>
      <w:r w:rsidRPr="00AA467C">
        <w:rPr>
          <w:rFonts w:ascii="Book Antiqua" w:hAnsi="Book Antiqua"/>
          <w:color w:val="auto"/>
          <w:sz w:val="20"/>
          <w:szCs w:val="20"/>
        </w:rPr>
        <w:instrText xml:space="preserve"> SEQ Equation \* ARABIC </w:instrText>
      </w:r>
      <w:r w:rsidR="00136A4B" w:rsidRPr="00AA467C">
        <w:rPr>
          <w:rFonts w:ascii="Book Antiqua" w:hAnsi="Book Antiqua"/>
          <w:color w:val="auto"/>
          <w:sz w:val="20"/>
          <w:szCs w:val="20"/>
        </w:rPr>
        <w:fldChar w:fldCharType="separate"/>
      </w:r>
      <w:r w:rsidRPr="00AA467C">
        <w:rPr>
          <w:rFonts w:ascii="Book Antiqua" w:hAnsi="Book Antiqua"/>
          <w:noProof/>
          <w:color w:val="auto"/>
          <w:sz w:val="20"/>
          <w:szCs w:val="20"/>
        </w:rPr>
        <w:t>1</w:t>
      </w:r>
      <w:r w:rsidR="00136A4B" w:rsidRPr="00AA467C">
        <w:rPr>
          <w:rFonts w:ascii="Book Antiqua" w:hAnsi="Book Antiqua"/>
          <w:color w:val="auto"/>
          <w:sz w:val="20"/>
          <w:szCs w:val="20"/>
        </w:rPr>
        <w:fldChar w:fldCharType="end"/>
      </w:r>
      <w:r w:rsidRPr="00AA467C">
        <w:rPr>
          <w:rFonts w:ascii="Book Antiqua" w:hAnsi="Book Antiqua"/>
          <w:color w:val="auto"/>
          <w:sz w:val="20"/>
          <w:szCs w:val="20"/>
        </w:rPr>
        <w:t xml:space="preserve">: </w:t>
      </w:r>
      <w:r w:rsidRPr="00AA467C">
        <w:rPr>
          <w:rFonts w:ascii="Book Antiqua" w:hAnsi="Book Antiqua"/>
          <w:b w:val="0"/>
          <w:color w:val="auto"/>
          <w:sz w:val="20"/>
          <w:szCs w:val="20"/>
        </w:rPr>
        <w:t>Regression Model to be used to estimate the financial variables on the Zambian Economy</w:t>
      </w:r>
    </w:p>
    <w:p w:rsidR="00F52A88" w:rsidRDefault="00F52A88" w:rsidP="00AA467C">
      <w:pPr>
        <w:jc w:val="both"/>
        <w:rPr>
          <w:rFonts w:ascii="Book Antiqua" w:hAnsi="Book Antiqua"/>
          <w:sz w:val="24"/>
          <w:szCs w:val="24"/>
        </w:rPr>
      </w:pPr>
    </w:p>
    <w:p w:rsidR="00AA467C" w:rsidRPr="00AA467C" w:rsidRDefault="00AA467C" w:rsidP="00AA467C">
      <w:pPr>
        <w:jc w:val="both"/>
        <w:rPr>
          <w:rFonts w:ascii="Book Antiqua" w:hAnsi="Book Antiqua"/>
          <w:sz w:val="24"/>
          <w:szCs w:val="24"/>
        </w:rPr>
      </w:pPr>
      <w:r>
        <w:rPr>
          <w:rFonts w:ascii="Book Antiqua" w:hAnsi="Book Antiqua"/>
          <w:sz w:val="24"/>
          <w:szCs w:val="24"/>
        </w:rPr>
        <w:lastRenderedPageBreak/>
        <w:t>Where ‘</w:t>
      </w:r>
      <w:r w:rsidR="00F25700" w:rsidRPr="00F25700">
        <w:rPr>
          <w:rFonts w:ascii="Book Antiqua" w:hAnsi="Book Antiqua"/>
          <w:b/>
          <w:sz w:val="24"/>
          <w:szCs w:val="24"/>
        </w:rPr>
        <w:t>y</w:t>
      </w:r>
      <w:r>
        <w:rPr>
          <w:rFonts w:ascii="Book Antiqua" w:hAnsi="Book Antiqua"/>
          <w:sz w:val="24"/>
          <w:szCs w:val="24"/>
        </w:rPr>
        <w:t xml:space="preserve">’ is the dependent variable (foreign exchange rate); </w:t>
      </w:r>
      <w:r w:rsidRPr="00F25700">
        <w:rPr>
          <w:rFonts w:ascii="Book Antiqua" w:hAnsi="Book Antiqua"/>
          <w:b/>
          <w:sz w:val="24"/>
          <w:szCs w:val="24"/>
        </w:rPr>
        <w:t>β</w:t>
      </w:r>
      <w:r w:rsidRPr="00F25700">
        <w:rPr>
          <w:rFonts w:ascii="Book Antiqua" w:hAnsi="Book Antiqua"/>
          <w:b/>
          <w:sz w:val="24"/>
          <w:szCs w:val="24"/>
          <w:vertAlign w:val="subscript"/>
        </w:rPr>
        <w:t>0</w:t>
      </w:r>
      <w:r>
        <w:rPr>
          <w:rFonts w:ascii="Book Antiqua" w:hAnsi="Book Antiqua"/>
          <w:sz w:val="24"/>
          <w:szCs w:val="24"/>
          <w:vertAlign w:val="subscript"/>
        </w:rPr>
        <w:t xml:space="preserve"> </w:t>
      </w:r>
      <w:r>
        <w:rPr>
          <w:rFonts w:ascii="Book Antiqua" w:hAnsi="Book Antiqua"/>
          <w:sz w:val="24"/>
          <w:szCs w:val="24"/>
        </w:rPr>
        <w:t>is the intercept with ‘</w:t>
      </w:r>
      <w:r w:rsidRPr="00F25700">
        <w:rPr>
          <w:rFonts w:ascii="Book Antiqua" w:hAnsi="Book Antiqua"/>
          <w:b/>
          <w:sz w:val="24"/>
          <w:szCs w:val="24"/>
        </w:rPr>
        <w:t>y</w:t>
      </w:r>
      <w:r>
        <w:rPr>
          <w:rFonts w:ascii="Book Antiqua" w:hAnsi="Book Antiqua"/>
          <w:sz w:val="24"/>
          <w:szCs w:val="24"/>
        </w:rPr>
        <w:t xml:space="preserve">’; </w:t>
      </w:r>
      <w:r w:rsidRPr="00F25700">
        <w:rPr>
          <w:rFonts w:ascii="Book Antiqua" w:hAnsi="Book Antiqua"/>
          <w:b/>
          <w:sz w:val="24"/>
          <w:szCs w:val="24"/>
        </w:rPr>
        <w:t>β</w:t>
      </w:r>
      <w:r w:rsidRPr="00F25700">
        <w:rPr>
          <w:rFonts w:ascii="Book Antiqua" w:hAnsi="Book Antiqua"/>
          <w:b/>
          <w:sz w:val="24"/>
          <w:szCs w:val="24"/>
          <w:vertAlign w:val="subscript"/>
        </w:rPr>
        <w:t>1</w:t>
      </w:r>
      <w:r>
        <w:rPr>
          <w:rFonts w:ascii="Book Antiqua" w:hAnsi="Book Antiqua"/>
          <w:sz w:val="24"/>
          <w:szCs w:val="24"/>
          <w:vertAlign w:val="subscript"/>
        </w:rPr>
        <w:t xml:space="preserve"> </w:t>
      </w:r>
      <w:r>
        <w:rPr>
          <w:rFonts w:ascii="Book Antiqua" w:hAnsi="Book Antiqua"/>
          <w:sz w:val="24"/>
          <w:szCs w:val="24"/>
        </w:rPr>
        <w:t xml:space="preserve">and </w:t>
      </w:r>
      <w:r w:rsidRPr="00F25700">
        <w:rPr>
          <w:rFonts w:ascii="Book Antiqua" w:hAnsi="Book Antiqua"/>
          <w:b/>
          <w:sz w:val="24"/>
          <w:szCs w:val="24"/>
        </w:rPr>
        <w:t>β</w:t>
      </w:r>
      <w:r w:rsidRPr="00F25700">
        <w:rPr>
          <w:rFonts w:ascii="Book Antiqua" w:hAnsi="Book Antiqua"/>
          <w:b/>
          <w:sz w:val="24"/>
          <w:szCs w:val="24"/>
          <w:vertAlign w:val="subscript"/>
        </w:rPr>
        <w:t>2</w:t>
      </w:r>
      <w:r>
        <w:rPr>
          <w:rFonts w:ascii="Book Antiqua" w:hAnsi="Book Antiqua"/>
          <w:sz w:val="24"/>
          <w:szCs w:val="24"/>
          <w:vertAlign w:val="subscript"/>
        </w:rPr>
        <w:t xml:space="preserve"> </w:t>
      </w:r>
      <w:r>
        <w:rPr>
          <w:rFonts w:ascii="Book Antiqua" w:hAnsi="Book Antiqua"/>
          <w:sz w:val="24"/>
          <w:szCs w:val="24"/>
        </w:rPr>
        <w:t xml:space="preserve">are slopes of the independent variables, </w:t>
      </w:r>
      <w:r w:rsidR="00F25700" w:rsidRPr="00F25700">
        <w:rPr>
          <w:rFonts w:ascii="Book Antiqua" w:hAnsi="Book Antiqua"/>
          <w:b/>
          <w:sz w:val="24"/>
          <w:szCs w:val="24"/>
        </w:rPr>
        <w:t>x</w:t>
      </w:r>
      <w:r w:rsidR="00F25700" w:rsidRPr="00F25700">
        <w:rPr>
          <w:rFonts w:ascii="Book Antiqua" w:hAnsi="Book Antiqua"/>
          <w:b/>
          <w:sz w:val="24"/>
          <w:szCs w:val="24"/>
          <w:vertAlign w:val="subscript"/>
        </w:rPr>
        <w:t>1</w:t>
      </w:r>
      <w:r w:rsidR="00F25700">
        <w:rPr>
          <w:rFonts w:ascii="Book Antiqua" w:hAnsi="Book Antiqua"/>
          <w:sz w:val="24"/>
          <w:szCs w:val="24"/>
        </w:rPr>
        <w:t xml:space="preserve"> and </w:t>
      </w:r>
      <w:r w:rsidR="00F25700" w:rsidRPr="00F25700">
        <w:rPr>
          <w:rFonts w:ascii="Book Antiqua" w:hAnsi="Book Antiqua"/>
          <w:b/>
          <w:sz w:val="24"/>
          <w:szCs w:val="24"/>
        </w:rPr>
        <w:t>x</w:t>
      </w:r>
      <w:r w:rsidR="00F25700" w:rsidRPr="00F25700">
        <w:rPr>
          <w:rFonts w:ascii="Book Antiqua" w:hAnsi="Book Antiqua"/>
          <w:b/>
          <w:sz w:val="24"/>
          <w:szCs w:val="24"/>
          <w:vertAlign w:val="subscript"/>
        </w:rPr>
        <w:t>2</w:t>
      </w:r>
      <w:r w:rsidR="00F25700">
        <w:rPr>
          <w:rFonts w:ascii="Book Antiqua" w:hAnsi="Book Antiqua"/>
          <w:sz w:val="24"/>
          <w:szCs w:val="24"/>
        </w:rPr>
        <w:t xml:space="preserve"> symbolise inflation and interest rate respectively.  </w:t>
      </w:r>
    </w:p>
    <w:p w:rsidR="00AA467C" w:rsidRPr="00AA467C" w:rsidRDefault="00AA467C" w:rsidP="00AA467C">
      <w:pPr>
        <w:rPr>
          <w:rFonts w:ascii="Book Antiqua" w:eastAsiaTheme="minorEastAsia" w:hAnsi="Book Antiqua"/>
          <w:sz w:val="24"/>
          <w:szCs w:val="24"/>
        </w:rPr>
      </w:pPr>
      <w:r w:rsidRPr="00AA467C">
        <w:rPr>
          <w:rFonts w:ascii="Book Antiqua" w:eastAsiaTheme="minorEastAsia" w:hAnsi="Book Antiqua"/>
          <w:sz w:val="24"/>
          <w:szCs w:val="24"/>
        </w:rPr>
        <w:t xml:space="preserve">Using the current model this equation translates to </w:t>
      </w:r>
    </w:p>
    <w:p w:rsidR="00AA467C" w:rsidRPr="00AA467C" w:rsidRDefault="00AA467C" w:rsidP="00AA467C">
      <w:pPr>
        <w:rPr>
          <w:rFonts w:ascii="Book Antiqua" w:hAnsi="Book Antiqua"/>
          <w:i/>
          <w:sz w:val="24"/>
          <w:szCs w:val="24"/>
        </w:rPr>
      </w:pPr>
      <m:oMathPara>
        <m:oMath>
          <m:r>
            <w:rPr>
              <w:rFonts w:ascii="Cambria Math" w:hAnsi="Cambria Math"/>
              <w:sz w:val="24"/>
              <w:szCs w:val="24"/>
            </w:rPr>
            <m:t>y</m:t>
          </m:r>
          <m:r>
            <w:rPr>
              <w:rFonts w:ascii="Cambria Math" w:hAnsi="Book Antiqua"/>
              <w:sz w:val="24"/>
              <w:szCs w:val="24"/>
            </w:rPr>
            <m:t xml:space="preserve">= </m:t>
          </m:r>
          <m:r>
            <w:rPr>
              <w:rFonts w:ascii="Cambria Math" w:hAnsi="Book Antiqua"/>
              <w:sz w:val="24"/>
              <w:szCs w:val="24"/>
            </w:rPr>
            <m:t>-</m:t>
          </m:r>
          <m:r>
            <w:rPr>
              <w:rFonts w:ascii="Cambria Math" w:hAnsi="Book Antiqua"/>
              <w:sz w:val="24"/>
              <w:szCs w:val="24"/>
            </w:rPr>
            <m:t>0.0000672+ 0.0000338</m:t>
          </m:r>
          <m:sSub>
            <m:sSubPr>
              <m:ctrlPr>
                <w:rPr>
                  <w:rFonts w:ascii="Cambria Math" w:hAnsi="Book Antiqua"/>
                  <w:i/>
                  <w:sz w:val="24"/>
                  <w:szCs w:val="24"/>
                </w:rPr>
              </m:ctrlPr>
            </m:sSubPr>
            <m:e>
              <m:r>
                <w:rPr>
                  <w:rFonts w:ascii="Cambria Math" w:hAnsi="Cambria Math"/>
                  <w:sz w:val="24"/>
                  <w:szCs w:val="24"/>
                </w:rPr>
                <m:t>x</m:t>
              </m:r>
            </m:e>
            <m:sub>
              <m:r>
                <w:rPr>
                  <w:rFonts w:ascii="Cambria Math" w:hAnsi="Book Antiqua"/>
                  <w:sz w:val="24"/>
                  <w:szCs w:val="24"/>
                </w:rPr>
                <m:t>1</m:t>
              </m:r>
            </m:sub>
          </m:sSub>
          <m:r>
            <w:rPr>
              <w:rFonts w:ascii="Book Antiqua" w:hAnsi="Book Antiqua"/>
              <w:sz w:val="24"/>
              <w:szCs w:val="24"/>
            </w:rPr>
            <m:t>-</m:t>
          </m:r>
          <m:r>
            <w:rPr>
              <w:rFonts w:ascii="Cambria Math" w:hAnsi="Book Antiqua"/>
              <w:sz w:val="24"/>
              <w:szCs w:val="24"/>
            </w:rPr>
            <m:t>0.00006799</m:t>
          </m:r>
          <m:sSub>
            <m:sSubPr>
              <m:ctrlPr>
                <w:rPr>
                  <w:rFonts w:ascii="Cambria Math" w:hAnsi="Book Antiqua"/>
                  <w:i/>
                  <w:sz w:val="24"/>
                  <w:szCs w:val="24"/>
                </w:rPr>
              </m:ctrlPr>
            </m:sSubPr>
            <m:e>
              <m:r>
                <w:rPr>
                  <w:rFonts w:ascii="Cambria Math" w:hAnsi="Cambria Math"/>
                  <w:sz w:val="24"/>
                  <w:szCs w:val="24"/>
                </w:rPr>
                <m:t>x</m:t>
              </m:r>
            </m:e>
            <m:sub>
              <m:r>
                <w:rPr>
                  <w:rFonts w:ascii="Cambria Math" w:hAnsi="Book Antiqua"/>
                  <w:sz w:val="24"/>
                  <w:szCs w:val="24"/>
                </w:rPr>
                <m:t>2</m:t>
              </m:r>
            </m:sub>
          </m:sSub>
        </m:oMath>
      </m:oMathPara>
    </w:p>
    <w:p w:rsidR="00AA467C" w:rsidRPr="00F52A88" w:rsidRDefault="00AA467C" w:rsidP="00AA467C">
      <w:pPr>
        <w:rPr>
          <w:rFonts w:ascii="Book Antiqua" w:hAnsi="Book Antiqua"/>
          <w:i/>
          <w:sz w:val="24"/>
          <w:szCs w:val="24"/>
        </w:rPr>
      </w:pPr>
      <w:r w:rsidRPr="00F52A88">
        <w:rPr>
          <w:rFonts w:ascii="Book Antiqua" w:hAnsi="Book Antiqua"/>
          <w:i/>
          <w:sz w:val="24"/>
          <w:szCs w:val="24"/>
        </w:rPr>
        <w:t>Where y is the foreign exchange rate</w:t>
      </w:r>
    </w:p>
    <w:p w:rsidR="00AA467C" w:rsidRPr="00F52A88" w:rsidRDefault="00AA467C" w:rsidP="00AA467C">
      <w:pPr>
        <w:rPr>
          <w:rFonts w:ascii="Book Antiqua" w:hAnsi="Book Antiqua"/>
          <w:i/>
          <w:sz w:val="24"/>
          <w:szCs w:val="24"/>
        </w:rPr>
      </w:pPr>
      <w:r w:rsidRPr="00F52A88">
        <w:rPr>
          <w:rFonts w:ascii="Book Antiqua" w:hAnsi="Book Antiqua"/>
          <w:i/>
          <w:sz w:val="24"/>
          <w:szCs w:val="24"/>
        </w:rPr>
        <w:t xml:space="preserve"> </w:t>
      </w:r>
      <m:oMath>
        <m:sSub>
          <m:sSubPr>
            <m:ctrlPr>
              <w:rPr>
                <w:rFonts w:ascii="Cambria Math" w:hAnsi="Book Antiqua"/>
                <w:i/>
                <w:sz w:val="24"/>
                <w:szCs w:val="24"/>
              </w:rPr>
            </m:ctrlPr>
          </m:sSubPr>
          <m:e>
            <m:r>
              <w:rPr>
                <w:rFonts w:ascii="Cambria Math" w:hAnsi="Cambria Math"/>
                <w:sz w:val="24"/>
                <w:szCs w:val="24"/>
              </w:rPr>
              <m:t>x</m:t>
            </m:r>
          </m:e>
          <m:sub>
            <m:r>
              <w:rPr>
                <w:rFonts w:ascii="Cambria Math" w:hAnsi="Book Antiqua"/>
                <w:sz w:val="24"/>
                <w:szCs w:val="24"/>
              </w:rPr>
              <m:t>1</m:t>
            </m:r>
          </m:sub>
        </m:sSub>
      </m:oMath>
      <w:r w:rsidRPr="00F52A88">
        <w:rPr>
          <w:rFonts w:ascii="Book Antiqua" w:hAnsi="Book Antiqua"/>
          <w:i/>
          <w:sz w:val="24"/>
          <w:szCs w:val="24"/>
        </w:rPr>
        <w:t xml:space="preserve">and </w:t>
      </w:r>
      <m:oMath>
        <m:sSub>
          <m:sSubPr>
            <m:ctrlPr>
              <w:rPr>
                <w:rFonts w:ascii="Cambria Math" w:hAnsi="Book Antiqua"/>
                <w:i/>
                <w:sz w:val="24"/>
                <w:szCs w:val="24"/>
              </w:rPr>
            </m:ctrlPr>
          </m:sSubPr>
          <m:e>
            <m:r>
              <w:rPr>
                <w:rFonts w:ascii="Cambria Math" w:hAnsi="Cambria Math"/>
                <w:sz w:val="24"/>
                <w:szCs w:val="24"/>
              </w:rPr>
              <m:t>x</m:t>
            </m:r>
          </m:e>
          <m:sub>
            <m:r>
              <w:rPr>
                <w:rFonts w:ascii="Cambria Math" w:hAnsi="Book Antiqua"/>
                <w:sz w:val="24"/>
                <w:szCs w:val="24"/>
              </w:rPr>
              <m:t>2</m:t>
            </m:r>
          </m:sub>
        </m:sSub>
      </m:oMath>
      <w:r w:rsidRPr="00F52A88">
        <w:rPr>
          <w:rFonts w:ascii="Book Antiqua" w:hAnsi="Book Antiqua"/>
          <w:i/>
          <w:sz w:val="24"/>
          <w:szCs w:val="24"/>
        </w:rPr>
        <w:t xml:space="preserve"> are the inflation rate and interest rate respectively</w:t>
      </w:r>
    </w:p>
    <w:p w:rsidR="00AA467C" w:rsidRPr="00F52A88" w:rsidRDefault="00AA467C" w:rsidP="00AA467C">
      <w:pPr>
        <w:jc w:val="both"/>
        <w:rPr>
          <w:rFonts w:ascii="Book Antiqua" w:hAnsi="Book Antiqua"/>
          <w:sz w:val="24"/>
          <w:szCs w:val="24"/>
        </w:rPr>
      </w:pPr>
      <w:r w:rsidRPr="00F52A88">
        <w:rPr>
          <w:rFonts w:ascii="Book Antiqua" w:hAnsi="Book Antiqua"/>
          <w:sz w:val="24"/>
          <w:szCs w:val="24"/>
        </w:rPr>
        <w:t xml:space="preserve">This can therefore be written as </w:t>
      </w:r>
    </w:p>
    <w:p w:rsidR="00AA467C" w:rsidRPr="00F52A88" w:rsidRDefault="00AA467C" w:rsidP="00AA467C">
      <w:pPr>
        <w:jc w:val="both"/>
        <w:rPr>
          <w:rFonts w:ascii="Book Antiqua" w:hAnsi="Book Antiqua"/>
          <w:i/>
          <w:sz w:val="24"/>
          <w:szCs w:val="24"/>
        </w:rPr>
      </w:pPr>
      <w:r w:rsidRPr="00F52A88">
        <w:rPr>
          <w:rFonts w:ascii="Book Antiqua" w:hAnsi="Book Antiqua"/>
          <w:i/>
          <w:sz w:val="24"/>
          <w:szCs w:val="24"/>
        </w:rPr>
        <w:t>Foreign exchange rate = -0.0000672 + (0.0000338)(inflation) – (0.00006799)(interest rate)</w:t>
      </w:r>
    </w:p>
    <w:p w:rsidR="00813D61" w:rsidRPr="005F24EB" w:rsidRDefault="00813D61" w:rsidP="00813D61">
      <w:pPr>
        <w:autoSpaceDE w:val="0"/>
        <w:autoSpaceDN w:val="0"/>
        <w:adjustRightInd w:val="0"/>
        <w:spacing w:after="0" w:line="240" w:lineRule="auto"/>
        <w:rPr>
          <w:rFonts w:ascii="Times New Roman" w:hAnsi="Times New Roman" w:cs="Times New Roman"/>
          <w:sz w:val="24"/>
          <w:szCs w:val="24"/>
          <w:lang w:bidi="ar-SA"/>
        </w:rPr>
      </w:pPr>
    </w:p>
    <w:tbl>
      <w:tblPr>
        <w:tblW w:w="87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970"/>
        <w:gridCol w:w="2426"/>
        <w:gridCol w:w="1455"/>
        <w:gridCol w:w="1453"/>
        <w:gridCol w:w="1455"/>
      </w:tblGrid>
      <w:tr w:rsidR="00813D61" w:rsidRPr="00F52A88" w:rsidTr="001F6024">
        <w:trPr>
          <w:cantSplit/>
          <w:tblHeader/>
        </w:trPr>
        <w:tc>
          <w:tcPr>
            <w:tcW w:w="8757" w:type="dxa"/>
            <w:gridSpan w:val="5"/>
            <w:tcBorders>
              <w:top w:val="nil"/>
              <w:left w:val="nil"/>
              <w:bottom w:val="nil"/>
              <w:right w:val="nil"/>
            </w:tcBorders>
            <w:shd w:val="clear" w:color="auto" w:fill="auto"/>
            <w:vAlign w:val="center"/>
          </w:tcPr>
          <w:p w:rsidR="00813D61" w:rsidRPr="00F52A88" w:rsidRDefault="00813D61" w:rsidP="00AA467C">
            <w:pPr>
              <w:autoSpaceDE w:val="0"/>
              <w:autoSpaceDN w:val="0"/>
              <w:adjustRightInd w:val="0"/>
              <w:spacing w:after="0" w:line="320" w:lineRule="atLeast"/>
              <w:ind w:left="60" w:right="60"/>
              <w:rPr>
                <w:rFonts w:ascii="Book Antiqua" w:hAnsi="Book Antiqua" w:cs="Arial"/>
                <w:color w:val="000000"/>
                <w:sz w:val="18"/>
                <w:szCs w:val="18"/>
                <w:lang w:bidi="ar-SA"/>
              </w:rPr>
            </w:pPr>
          </w:p>
        </w:tc>
      </w:tr>
      <w:tr w:rsidR="00813D61" w:rsidRPr="00F52A88" w:rsidTr="001F6024">
        <w:trPr>
          <w:cantSplit/>
          <w:tblHeader/>
        </w:trPr>
        <w:tc>
          <w:tcPr>
            <w:tcW w:w="4394" w:type="dxa"/>
            <w:gridSpan w:val="2"/>
            <w:tcBorders>
              <w:top w:val="double" w:sz="8" w:space="0" w:color="000000"/>
              <w:left w:val="nil"/>
              <w:bottom w:val="single" w:sz="16" w:space="0" w:color="000000"/>
              <w:right w:val="nil"/>
            </w:tcBorders>
            <w:shd w:val="clear" w:color="auto" w:fill="auto"/>
            <w:vAlign w:val="center"/>
          </w:tcPr>
          <w:p w:rsidR="00813D61" w:rsidRPr="00F52A88" w:rsidRDefault="00813D61" w:rsidP="001F6024">
            <w:pPr>
              <w:autoSpaceDE w:val="0"/>
              <w:autoSpaceDN w:val="0"/>
              <w:adjustRightInd w:val="0"/>
              <w:spacing w:after="0" w:line="240" w:lineRule="auto"/>
              <w:jc w:val="center"/>
              <w:rPr>
                <w:rFonts w:ascii="Book Antiqua" w:hAnsi="Book Antiqua" w:cs="Times New Roman"/>
                <w:sz w:val="24"/>
                <w:szCs w:val="24"/>
                <w:lang w:bidi="ar-SA"/>
              </w:rPr>
            </w:pPr>
          </w:p>
        </w:tc>
        <w:tc>
          <w:tcPr>
            <w:tcW w:w="1455" w:type="dxa"/>
            <w:tcBorders>
              <w:top w:val="double" w:sz="8" w:space="0" w:color="000000"/>
              <w:left w:val="nil"/>
              <w:bottom w:val="single" w:sz="16" w:space="0" w:color="000000"/>
              <w:right w:val="nil"/>
            </w:tcBorders>
            <w:shd w:val="clear" w:color="auto" w:fill="auto"/>
            <w:vAlign w:val="bottom"/>
          </w:tcPr>
          <w:p w:rsidR="00813D61" w:rsidRPr="00F52A88" w:rsidRDefault="00813D61" w:rsidP="001F6024">
            <w:pPr>
              <w:autoSpaceDE w:val="0"/>
              <w:autoSpaceDN w:val="0"/>
              <w:adjustRightInd w:val="0"/>
              <w:spacing w:after="0" w:line="320" w:lineRule="atLeast"/>
              <w:ind w:left="60" w:right="60"/>
              <w:jc w:val="center"/>
              <w:rPr>
                <w:rFonts w:ascii="Book Antiqua" w:hAnsi="Book Antiqua" w:cs="Arial"/>
                <w:color w:val="000000"/>
                <w:sz w:val="18"/>
                <w:szCs w:val="18"/>
                <w:lang w:bidi="ar-SA"/>
              </w:rPr>
            </w:pPr>
            <w:r w:rsidRPr="00F52A88">
              <w:rPr>
                <w:rFonts w:ascii="Book Antiqua" w:hAnsi="Book Antiqua" w:cs="Arial"/>
                <w:color w:val="000000"/>
                <w:sz w:val="18"/>
                <w:szCs w:val="18"/>
                <w:lang w:bidi="ar-SA"/>
              </w:rPr>
              <w:t>US$ per Zambian Kwacha</w:t>
            </w:r>
          </w:p>
        </w:tc>
        <w:tc>
          <w:tcPr>
            <w:tcW w:w="1453" w:type="dxa"/>
            <w:tcBorders>
              <w:top w:val="double" w:sz="8" w:space="0" w:color="000000"/>
              <w:left w:val="nil"/>
              <w:bottom w:val="single" w:sz="16" w:space="0" w:color="000000"/>
              <w:right w:val="nil"/>
            </w:tcBorders>
            <w:shd w:val="clear" w:color="auto" w:fill="auto"/>
            <w:vAlign w:val="bottom"/>
          </w:tcPr>
          <w:p w:rsidR="00813D61" w:rsidRPr="00F52A88" w:rsidRDefault="00813D61" w:rsidP="001F6024">
            <w:pPr>
              <w:autoSpaceDE w:val="0"/>
              <w:autoSpaceDN w:val="0"/>
              <w:adjustRightInd w:val="0"/>
              <w:spacing w:after="0" w:line="320" w:lineRule="atLeast"/>
              <w:ind w:left="60" w:right="60"/>
              <w:jc w:val="center"/>
              <w:rPr>
                <w:rFonts w:ascii="Book Antiqua" w:hAnsi="Book Antiqua" w:cs="Arial"/>
                <w:color w:val="000000"/>
                <w:sz w:val="18"/>
                <w:szCs w:val="18"/>
                <w:lang w:bidi="ar-SA"/>
              </w:rPr>
            </w:pPr>
            <w:r w:rsidRPr="00F52A88">
              <w:rPr>
                <w:rFonts w:ascii="Book Antiqua" w:hAnsi="Book Antiqua" w:cs="Arial"/>
                <w:color w:val="000000"/>
                <w:sz w:val="18"/>
                <w:szCs w:val="18"/>
                <w:lang w:bidi="ar-SA"/>
              </w:rPr>
              <w:t>Inflation, consumer prices (annual %)</w:t>
            </w:r>
          </w:p>
        </w:tc>
        <w:tc>
          <w:tcPr>
            <w:tcW w:w="1455" w:type="dxa"/>
            <w:tcBorders>
              <w:top w:val="double" w:sz="8" w:space="0" w:color="000000"/>
              <w:left w:val="nil"/>
              <w:bottom w:val="single" w:sz="16" w:space="0" w:color="000000"/>
              <w:right w:val="nil"/>
            </w:tcBorders>
            <w:shd w:val="clear" w:color="auto" w:fill="auto"/>
            <w:vAlign w:val="bottom"/>
          </w:tcPr>
          <w:p w:rsidR="00813D61" w:rsidRPr="00F52A88" w:rsidRDefault="00813D61" w:rsidP="001F6024">
            <w:pPr>
              <w:autoSpaceDE w:val="0"/>
              <w:autoSpaceDN w:val="0"/>
              <w:adjustRightInd w:val="0"/>
              <w:spacing w:after="0" w:line="320" w:lineRule="atLeast"/>
              <w:ind w:left="60" w:right="60"/>
              <w:jc w:val="center"/>
              <w:rPr>
                <w:rFonts w:ascii="Book Antiqua" w:hAnsi="Book Antiqua" w:cs="Arial"/>
                <w:color w:val="000000"/>
                <w:sz w:val="18"/>
                <w:szCs w:val="18"/>
                <w:lang w:bidi="ar-SA"/>
              </w:rPr>
            </w:pPr>
            <w:r w:rsidRPr="00F52A88">
              <w:rPr>
                <w:rFonts w:ascii="Book Antiqua" w:hAnsi="Book Antiqua" w:cs="Arial"/>
                <w:color w:val="000000"/>
                <w:sz w:val="18"/>
                <w:szCs w:val="18"/>
                <w:lang w:bidi="ar-SA"/>
              </w:rPr>
              <w:t>Lending interest rate (%)</w:t>
            </w:r>
          </w:p>
        </w:tc>
      </w:tr>
      <w:tr w:rsidR="00813D61" w:rsidRPr="00F52A88" w:rsidTr="001F6024">
        <w:trPr>
          <w:cantSplit/>
          <w:tblHeader/>
        </w:trPr>
        <w:tc>
          <w:tcPr>
            <w:tcW w:w="1969" w:type="dxa"/>
            <w:vMerge w:val="restart"/>
            <w:tcBorders>
              <w:top w:val="single" w:sz="16" w:space="0" w:color="000000"/>
              <w:left w:val="nil"/>
              <w:right w:val="nil"/>
            </w:tcBorders>
            <w:shd w:val="clear" w:color="auto" w:fill="auto"/>
          </w:tcPr>
          <w:p w:rsidR="00813D61" w:rsidRPr="00F52A88" w:rsidRDefault="00813D61" w:rsidP="001F6024">
            <w:pPr>
              <w:autoSpaceDE w:val="0"/>
              <w:autoSpaceDN w:val="0"/>
              <w:adjustRightInd w:val="0"/>
              <w:spacing w:after="0" w:line="240" w:lineRule="auto"/>
              <w:ind w:left="60" w:right="60"/>
              <w:rPr>
                <w:rFonts w:ascii="Book Antiqua" w:hAnsi="Book Antiqua" w:cs="Arial"/>
                <w:color w:val="000000"/>
                <w:sz w:val="18"/>
                <w:szCs w:val="18"/>
                <w:lang w:bidi="ar-SA"/>
              </w:rPr>
            </w:pPr>
            <w:r w:rsidRPr="00F52A88">
              <w:rPr>
                <w:rFonts w:ascii="Book Antiqua" w:hAnsi="Book Antiqua" w:cs="Arial"/>
                <w:color w:val="000000"/>
                <w:sz w:val="18"/>
                <w:szCs w:val="18"/>
                <w:lang w:bidi="ar-SA"/>
              </w:rPr>
              <w:t>Pearson Correlation</w:t>
            </w:r>
          </w:p>
        </w:tc>
        <w:tc>
          <w:tcPr>
            <w:tcW w:w="2425" w:type="dxa"/>
            <w:tcBorders>
              <w:top w:val="single" w:sz="16" w:space="0" w:color="000000"/>
              <w:left w:val="nil"/>
              <w:bottom w:val="nil"/>
              <w:right w:val="nil"/>
            </w:tcBorders>
            <w:shd w:val="clear" w:color="auto" w:fill="auto"/>
          </w:tcPr>
          <w:p w:rsidR="00813D61" w:rsidRPr="00F52A88" w:rsidRDefault="00813D61" w:rsidP="001F6024">
            <w:pPr>
              <w:autoSpaceDE w:val="0"/>
              <w:autoSpaceDN w:val="0"/>
              <w:adjustRightInd w:val="0"/>
              <w:spacing w:after="0" w:line="240" w:lineRule="auto"/>
              <w:ind w:left="60" w:right="60"/>
              <w:rPr>
                <w:rFonts w:ascii="Book Antiqua" w:hAnsi="Book Antiqua" w:cs="Arial"/>
                <w:color w:val="000000"/>
                <w:sz w:val="18"/>
                <w:szCs w:val="18"/>
                <w:lang w:bidi="ar-SA"/>
              </w:rPr>
            </w:pPr>
            <w:r w:rsidRPr="00F52A88">
              <w:rPr>
                <w:rFonts w:ascii="Book Antiqua" w:hAnsi="Book Antiqua" w:cs="Arial"/>
                <w:color w:val="000000"/>
                <w:sz w:val="18"/>
                <w:szCs w:val="18"/>
                <w:lang w:bidi="ar-SA"/>
              </w:rPr>
              <w:t>US$ per Zambian Kwacha</w:t>
            </w:r>
          </w:p>
        </w:tc>
        <w:tc>
          <w:tcPr>
            <w:tcW w:w="1455" w:type="dxa"/>
            <w:tcBorders>
              <w:top w:val="single" w:sz="16" w:space="0" w:color="000000"/>
              <w:left w:val="nil"/>
              <w:bottom w:val="nil"/>
              <w:right w:val="nil"/>
            </w:tcBorders>
            <w:shd w:val="clear" w:color="auto" w:fill="auto"/>
          </w:tcPr>
          <w:p w:rsidR="00813D61" w:rsidRPr="00F52A88" w:rsidRDefault="00813D61" w:rsidP="001F6024">
            <w:pPr>
              <w:autoSpaceDE w:val="0"/>
              <w:autoSpaceDN w:val="0"/>
              <w:adjustRightInd w:val="0"/>
              <w:spacing w:after="0" w:line="240" w:lineRule="auto"/>
              <w:ind w:left="60" w:right="60"/>
              <w:jc w:val="center"/>
              <w:rPr>
                <w:rFonts w:ascii="Book Antiqua" w:hAnsi="Book Antiqua" w:cs="Arial"/>
                <w:color w:val="000000"/>
                <w:sz w:val="18"/>
                <w:szCs w:val="18"/>
                <w:lang w:bidi="ar-SA"/>
              </w:rPr>
            </w:pPr>
            <w:r w:rsidRPr="00F52A88">
              <w:rPr>
                <w:rFonts w:ascii="Book Antiqua" w:hAnsi="Book Antiqua" w:cs="Arial"/>
                <w:color w:val="000000"/>
                <w:sz w:val="18"/>
                <w:szCs w:val="18"/>
                <w:lang w:bidi="ar-SA"/>
              </w:rPr>
              <w:t>1.000</w:t>
            </w:r>
          </w:p>
        </w:tc>
        <w:tc>
          <w:tcPr>
            <w:tcW w:w="1453" w:type="dxa"/>
            <w:tcBorders>
              <w:top w:val="single" w:sz="16" w:space="0" w:color="000000"/>
              <w:left w:val="nil"/>
              <w:bottom w:val="nil"/>
              <w:right w:val="nil"/>
            </w:tcBorders>
            <w:shd w:val="clear" w:color="auto" w:fill="auto"/>
          </w:tcPr>
          <w:p w:rsidR="00813D61" w:rsidRPr="00F52A88" w:rsidRDefault="00813D61" w:rsidP="001F6024">
            <w:pPr>
              <w:autoSpaceDE w:val="0"/>
              <w:autoSpaceDN w:val="0"/>
              <w:adjustRightInd w:val="0"/>
              <w:spacing w:after="0" w:line="240" w:lineRule="auto"/>
              <w:ind w:left="60" w:right="60"/>
              <w:jc w:val="center"/>
              <w:rPr>
                <w:rFonts w:ascii="Book Antiqua" w:hAnsi="Book Antiqua" w:cs="Arial"/>
                <w:color w:val="000000"/>
                <w:sz w:val="18"/>
                <w:szCs w:val="18"/>
                <w:lang w:bidi="ar-SA"/>
              </w:rPr>
            </w:pPr>
            <w:r w:rsidRPr="00F52A88">
              <w:rPr>
                <w:rFonts w:ascii="Book Antiqua" w:hAnsi="Book Antiqua" w:cs="Arial"/>
                <w:color w:val="000000"/>
                <w:sz w:val="18"/>
                <w:szCs w:val="18"/>
                <w:lang w:bidi="ar-SA"/>
              </w:rPr>
              <w:t>.848</w:t>
            </w:r>
          </w:p>
        </w:tc>
        <w:tc>
          <w:tcPr>
            <w:tcW w:w="1455" w:type="dxa"/>
            <w:tcBorders>
              <w:top w:val="single" w:sz="16" w:space="0" w:color="000000"/>
              <w:left w:val="nil"/>
              <w:bottom w:val="nil"/>
              <w:right w:val="nil"/>
            </w:tcBorders>
            <w:shd w:val="clear" w:color="auto" w:fill="auto"/>
          </w:tcPr>
          <w:p w:rsidR="00813D61" w:rsidRPr="00F52A88" w:rsidRDefault="00813D61" w:rsidP="001F6024">
            <w:pPr>
              <w:autoSpaceDE w:val="0"/>
              <w:autoSpaceDN w:val="0"/>
              <w:adjustRightInd w:val="0"/>
              <w:spacing w:after="0" w:line="240" w:lineRule="auto"/>
              <w:ind w:left="60" w:right="60"/>
              <w:jc w:val="center"/>
              <w:rPr>
                <w:rFonts w:ascii="Book Antiqua" w:hAnsi="Book Antiqua" w:cs="Arial"/>
                <w:color w:val="000000"/>
                <w:sz w:val="18"/>
                <w:szCs w:val="18"/>
                <w:lang w:bidi="ar-SA"/>
              </w:rPr>
            </w:pPr>
            <w:r w:rsidRPr="00F52A88">
              <w:rPr>
                <w:rFonts w:ascii="Book Antiqua" w:hAnsi="Book Antiqua" w:cs="Arial"/>
                <w:color w:val="000000"/>
                <w:sz w:val="18"/>
                <w:szCs w:val="18"/>
                <w:lang w:bidi="ar-SA"/>
              </w:rPr>
              <w:t>.733</w:t>
            </w:r>
          </w:p>
        </w:tc>
      </w:tr>
      <w:tr w:rsidR="00813D61" w:rsidRPr="00F52A88" w:rsidTr="001F6024">
        <w:trPr>
          <w:cantSplit/>
          <w:tblHeader/>
        </w:trPr>
        <w:tc>
          <w:tcPr>
            <w:tcW w:w="1969" w:type="dxa"/>
            <w:vMerge/>
            <w:tcBorders>
              <w:top w:val="single" w:sz="16" w:space="0" w:color="000000"/>
              <w:left w:val="nil"/>
              <w:right w:val="nil"/>
            </w:tcBorders>
            <w:shd w:val="clear" w:color="auto" w:fill="auto"/>
          </w:tcPr>
          <w:p w:rsidR="00813D61" w:rsidRPr="00F52A88" w:rsidRDefault="00813D61" w:rsidP="001F6024">
            <w:pPr>
              <w:autoSpaceDE w:val="0"/>
              <w:autoSpaceDN w:val="0"/>
              <w:adjustRightInd w:val="0"/>
              <w:spacing w:after="0" w:line="240" w:lineRule="auto"/>
              <w:rPr>
                <w:rFonts w:ascii="Book Antiqua" w:hAnsi="Book Antiqua" w:cs="Arial"/>
                <w:color w:val="000000"/>
                <w:sz w:val="18"/>
                <w:szCs w:val="18"/>
                <w:lang w:bidi="ar-SA"/>
              </w:rPr>
            </w:pPr>
          </w:p>
        </w:tc>
        <w:tc>
          <w:tcPr>
            <w:tcW w:w="2425" w:type="dxa"/>
            <w:tcBorders>
              <w:top w:val="nil"/>
              <w:left w:val="nil"/>
              <w:bottom w:val="nil"/>
              <w:right w:val="nil"/>
            </w:tcBorders>
            <w:shd w:val="clear" w:color="auto" w:fill="auto"/>
          </w:tcPr>
          <w:p w:rsidR="00813D61" w:rsidRPr="00F52A88" w:rsidRDefault="00813D61" w:rsidP="001F6024">
            <w:pPr>
              <w:autoSpaceDE w:val="0"/>
              <w:autoSpaceDN w:val="0"/>
              <w:adjustRightInd w:val="0"/>
              <w:spacing w:after="0" w:line="240" w:lineRule="auto"/>
              <w:ind w:left="60" w:right="60"/>
              <w:rPr>
                <w:rFonts w:ascii="Book Antiqua" w:hAnsi="Book Antiqua" w:cs="Arial"/>
                <w:color w:val="000000"/>
                <w:sz w:val="18"/>
                <w:szCs w:val="18"/>
                <w:lang w:bidi="ar-SA"/>
              </w:rPr>
            </w:pPr>
            <w:r w:rsidRPr="00F52A88">
              <w:rPr>
                <w:rFonts w:ascii="Book Antiqua" w:hAnsi="Book Antiqua" w:cs="Arial"/>
                <w:color w:val="000000"/>
                <w:sz w:val="18"/>
                <w:szCs w:val="18"/>
                <w:lang w:bidi="ar-SA"/>
              </w:rPr>
              <w:t>Inflation, consumer prices (annual %)</w:t>
            </w:r>
          </w:p>
        </w:tc>
        <w:tc>
          <w:tcPr>
            <w:tcW w:w="1455" w:type="dxa"/>
            <w:tcBorders>
              <w:top w:val="nil"/>
              <w:left w:val="nil"/>
              <w:bottom w:val="nil"/>
              <w:right w:val="nil"/>
            </w:tcBorders>
            <w:shd w:val="clear" w:color="auto" w:fill="auto"/>
          </w:tcPr>
          <w:p w:rsidR="00813D61" w:rsidRPr="00F52A88" w:rsidRDefault="00813D61" w:rsidP="001F6024">
            <w:pPr>
              <w:autoSpaceDE w:val="0"/>
              <w:autoSpaceDN w:val="0"/>
              <w:adjustRightInd w:val="0"/>
              <w:spacing w:after="0" w:line="240" w:lineRule="auto"/>
              <w:ind w:left="60" w:right="60"/>
              <w:jc w:val="center"/>
              <w:rPr>
                <w:rFonts w:ascii="Book Antiqua" w:hAnsi="Book Antiqua" w:cs="Arial"/>
                <w:color w:val="000000"/>
                <w:sz w:val="18"/>
                <w:szCs w:val="18"/>
                <w:lang w:bidi="ar-SA"/>
              </w:rPr>
            </w:pPr>
            <w:r w:rsidRPr="00F52A88">
              <w:rPr>
                <w:rFonts w:ascii="Book Antiqua" w:hAnsi="Book Antiqua" w:cs="Arial"/>
                <w:color w:val="000000"/>
                <w:sz w:val="18"/>
                <w:szCs w:val="18"/>
                <w:lang w:bidi="ar-SA"/>
              </w:rPr>
              <w:t>.848</w:t>
            </w:r>
          </w:p>
        </w:tc>
        <w:tc>
          <w:tcPr>
            <w:tcW w:w="1453" w:type="dxa"/>
            <w:tcBorders>
              <w:top w:val="nil"/>
              <w:left w:val="nil"/>
              <w:bottom w:val="nil"/>
              <w:right w:val="nil"/>
            </w:tcBorders>
            <w:shd w:val="clear" w:color="auto" w:fill="auto"/>
          </w:tcPr>
          <w:p w:rsidR="00813D61" w:rsidRPr="00F52A88" w:rsidRDefault="00813D61" w:rsidP="001F6024">
            <w:pPr>
              <w:autoSpaceDE w:val="0"/>
              <w:autoSpaceDN w:val="0"/>
              <w:adjustRightInd w:val="0"/>
              <w:spacing w:after="0" w:line="240" w:lineRule="auto"/>
              <w:ind w:left="60" w:right="60"/>
              <w:jc w:val="center"/>
              <w:rPr>
                <w:rFonts w:ascii="Book Antiqua" w:hAnsi="Book Antiqua" w:cs="Arial"/>
                <w:color w:val="000000"/>
                <w:sz w:val="18"/>
                <w:szCs w:val="18"/>
                <w:lang w:bidi="ar-SA"/>
              </w:rPr>
            </w:pPr>
            <w:r w:rsidRPr="00F52A88">
              <w:rPr>
                <w:rFonts w:ascii="Book Antiqua" w:hAnsi="Book Antiqua" w:cs="Arial"/>
                <w:color w:val="000000"/>
                <w:sz w:val="18"/>
                <w:szCs w:val="18"/>
                <w:lang w:bidi="ar-SA"/>
              </w:rPr>
              <w:t>1.000</w:t>
            </w:r>
          </w:p>
        </w:tc>
        <w:tc>
          <w:tcPr>
            <w:tcW w:w="1455" w:type="dxa"/>
            <w:tcBorders>
              <w:top w:val="nil"/>
              <w:left w:val="nil"/>
              <w:bottom w:val="nil"/>
              <w:right w:val="nil"/>
            </w:tcBorders>
            <w:shd w:val="clear" w:color="auto" w:fill="auto"/>
          </w:tcPr>
          <w:p w:rsidR="00813D61" w:rsidRPr="00F52A88" w:rsidRDefault="00813D61" w:rsidP="001F6024">
            <w:pPr>
              <w:autoSpaceDE w:val="0"/>
              <w:autoSpaceDN w:val="0"/>
              <w:adjustRightInd w:val="0"/>
              <w:spacing w:after="0" w:line="240" w:lineRule="auto"/>
              <w:ind w:left="60" w:right="60"/>
              <w:jc w:val="center"/>
              <w:rPr>
                <w:rFonts w:ascii="Book Antiqua" w:hAnsi="Book Antiqua" w:cs="Arial"/>
                <w:color w:val="000000"/>
                <w:sz w:val="18"/>
                <w:szCs w:val="18"/>
                <w:lang w:bidi="ar-SA"/>
              </w:rPr>
            </w:pPr>
            <w:r w:rsidRPr="00F52A88">
              <w:rPr>
                <w:rFonts w:ascii="Book Antiqua" w:hAnsi="Book Antiqua" w:cs="Arial"/>
                <w:color w:val="000000"/>
                <w:sz w:val="18"/>
                <w:szCs w:val="18"/>
                <w:lang w:bidi="ar-SA"/>
              </w:rPr>
              <w:t>.914</w:t>
            </w:r>
          </w:p>
        </w:tc>
      </w:tr>
      <w:tr w:rsidR="00813D61" w:rsidRPr="00F52A88" w:rsidTr="001F6024">
        <w:trPr>
          <w:cantSplit/>
          <w:tblHeader/>
        </w:trPr>
        <w:tc>
          <w:tcPr>
            <w:tcW w:w="1969" w:type="dxa"/>
            <w:vMerge/>
            <w:tcBorders>
              <w:top w:val="single" w:sz="16" w:space="0" w:color="000000"/>
              <w:left w:val="nil"/>
              <w:right w:val="nil"/>
            </w:tcBorders>
            <w:shd w:val="clear" w:color="auto" w:fill="auto"/>
          </w:tcPr>
          <w:p w:rsidR="00813D61" w:rsidRPr="00F52A88" w:rsidRDefault="00813D61" w:rsidP="001F6024">
            <w:pPr>
              <w:autoSpaceDE w:val="0"/>
              <w:autoSpaceDN w:val="0"/>
              <w:adjustRightInd w:val="0"/>
              <w:spacing w:after="0" w:line="240" w:lineRule="auto"/>
              <w:rPr>
                <w:rFonts w:ascii="Book Antiqua" w:hAnsi="Book Antiqua" w:cs="Arial"/>
                <w:color w:val="000000"/>
                <w:sz w:val="18"/>
                <w:szCs w:val="18"/>
                <w:lang w:bidi="ar-SA"/>
              </w:rPr>
            </w:pPr>
          </w:p>
        </w:tc>
        <w:tc>
          <w:tcPr>
            <w:tcW w:w="2425" w:type="dxa"/>
            <w:tcBorders>
              <w:top w:val="nil"/>
              <w:left w:val="nil"/>
              <w:right w:val="nil"/>
            </w:tcBorders>
            <w:shd w:val="clear" w:color="auto" w:fill="auto"/>
          </w:tcPr>
          <w:p w:rsidR="00813D61" w:rsidRPr="00F52A88" w:rsidRDefault="00813D61" w:rsidP="001F6024">
            <w:pPr>
              <w:autoSpaceDE w:val="0"/>
              <w:autoSpaceDN w:val="0"/>
              <w:adjustRightInd w:val="0"/>
              <w:spacing w:after="0" w:line="240" w:lineRule="auto"/>
              <w:ind w:left="60" w:right="60"/>
              <w:rPr>
                <w:rFonts w:ascii="Book Antiqua" w:hAnsi="Book Antiqua" w:cs="Arial"/>
                <w:color w:val="000000"/>
                <w:sz w:val="18"/>
                <w:szCs w:val="18"/>
                <w:lang w:bidi="ar-SA"/>
              </w:rPr>
            </w:pPr>
            <w:r w:rsidRPr="00F52A88">
              <w:rPr>
                <w:rFonts w:ascii="Book Antiqua" w:hAnsi="Book Antiqua" w:cs="Arial"/>
                <w:color w:val="000000"/>
                <w:sz w:val="18"/>
                <w:szCs w:val="18"/>
                <w:lang w:bidi="ar-SA"/>
              </w:rPr>
              <w:t>Lending interest rate (%)</w:t>
            </w:r>
          </w:p>
        </w:tc>
        <w:tc>
          <w:tcPr>
            <w:tcW w:w="1455" w:type="dxa"/>
            <w:tcBorders>
              <w:top w:val="nil"/>
              <w:left w:val="nil"/>
              <w:right w:val="nil"/>
            </w:tcBorders>
            <w:shd w:val="clear" w:color="auto" w:fill="auto"/>
          </w:tcPr>
          <w:p w:rsidR="00813D61" w:rsidRPr="00F52A88" w:rsidRDefault="00813D61" w:rsidP="001F6024">
            <w:pPr>
              <w:autoSpaceDE w:val="0"/>
              <w:autoSpaceDN w:val="0"/>
              <w:adjustRightInd w:val="0"/>
              <w:spacing w:after="0" w:line="240" w:lineRule="auto"/>
              <w:ind w:left="60" w:right="60"/>
              <w:jc w:val="center"/>
              <w:rPr>
                <w:rFonts w:ascii="Book Antiqua" w:hAnsi="Book Antiqua" w:cs="Arial"/>
                <w:color w:val="000000"/>
                <w:sz w:val="18"/>
                <w:szCs w:val="18"/>
                <w:lang w:bidi="ar-SA"/>
              </w:rPr>
            </w:pPr>
            <w:r w:rsidRPr="00F52A88">
              <w:rPr>
                <w:rFonts w:ascii="Book Antiqua" w:hAnsi="Book Antiqua" w:cs="Arial"/>
                <w:color w:val="000000"/>
                <w:sz w:val="18"/>
                <w:szCs w:val="18"/>
                <w:lang w:bidi="ar-SA"/>
              </w:rPr>
              <w:t>.733</w:t>
            </w:r>
          </w:p>
        </w:tc>
        <w:tc>
          <w:tcPr>
            <w:tcW w:w="1453" w:type="dxa"/>
            <w:tcBorders>
              <w:top w:val="nil"/>
              <w:left w:val="nil"/>
              <w:right w:val="nil"/>
            </w:tcBorders>
            <w:shd w:val="clear" w:color="auto" w:fill="auto"/>
          </w:tcPr>
          <w:p w:rsidR="00813D61" w:rsidRPr="00F52A88" w:rsidRDefault="00813D61" w:rsidP="001F6024">
            <w:pPr>
              <w:autoSpaceDE w:val="0"/>
              <w:autoSpaceDN w:val="0"/>
              <w:adjustRightInd w:val="0"/>
              <w:spacing w:after="0" w:line="240" w:lineRule="auto"/>
              <w:ind w:left="60" w:right="60"/>
              <w:jc w:val="center"/>
              <w:rPr>
                <w:rFonts w:ascii="Book Antiqua" w:hAnsi="Book Antiqua" w:cs="Arial"/>
                <w:color w:val="000000"/>
                <w:sz w:val="18"/>
                <w:szCs w:val="18"/>
                <w:lang w:bidi="ar-SA"/>
              </w:rPr>
            </w:pPr>
            <w:r w:rsidRPr="00F52A88">
              <w:rPr>
                <w:rFonts w:ascii="Book Antiqua" w:hAnsi="Book Antiqua" w:cs="Arial"/>
                <w:color w:val="000000"/>
                <w:sz w:val="18"/>
                <w:szCs w:val="18"/>
                <w:lang w:bidi="ar-SA"/>
              </w:rPr>
              <w:t>.914</w:t>
            </w:r>
          </w:p>
        </w:tc>
        <w:tc>
          <w:tcPr>
            <w:tcW w:w="1455" w:type="dxa"/>
            <w:tcBorders>
              <w:top w:val="nil"/>
              <w:left w:val="nil"/>
              <w:right w:val="nil"/>
            </w:tcBorders>
            <w:shd w:val="clear" w:color="auto" w:fill="auto"/>
          </w:tcPr>
          <w:p w:rsidR="00813D61" w:rsidRPr="00F52A88" w:rsidRDefault="00813D61" w:rsidP="001F6024">
            <w:pPr>
              <w:autoSpaceDE w:val="0"/>
              <w:autoSpaceDN w:val="0"/>
              <w:adjustRightInd w:val="0"/>
              <w:spacing w:after="0" w:line="240" w:lineRule="auto"/>
              <w:ind w:left="60" w:right="60"/>
              <w:jc w:val="center"/>
              <w:rPr>
                <w:rFonts w:ascii="Book Antiqua" w:hAnsi="Book Antiqua" w:cs="Arial"/>
                <w:color w:val="000000"/>
                <w:sz w:val="18"/>
                <w:szCs w:val="18"/>
                <w:lang w:bidi="ar-SA"/>
              </w:rPr>
            </w:pPr>
            <w:r w:rsidRPr="00F52A88">
              <w:rPr>
                <w:rFonts w:ascii="Book Antiqua" w:hAnsi="Book Antiqua" w:cs="Arial"/>
                <w:color w:val="000000"/>
                <w:sz w:val="18"/>
                <w:szCs w:val="18"/>
                <w:lang w:bidi="ar-SA"/>
              </w:rPr>
              <w:t>1.000</w:t>
            </w:r>
          </w:p>
        </w:tc>
      </w:tr>
      <w:tr w:rsidR="00813D61" w:rsidRPr="00F52A88" w:rsidTr="001F6024">
        <w:trPr>
          <w:cantSplit/>
          <w:tblHeader/>
        </w:trPr>
        <w:tc>
          <w:tcPr>
            <w:tcW w:w="1969" w:type="dxa"/>
            <w:vMerge w:val="restart"/>
            <w:tcBorders>
              <w:left w:val="nil"/>
              <w:bottom w:val="double" w:sz="8" w:space="0" w:color="000000"/>
              <w:right w:val="nil"/>
            </w:tcBorders>
            <w:shd w:val="clear" w:color="auto" w:fill="auto"/>
          </w:tcPr>
          <w:p w:rsidR="00813D61" w:rsidRPr="00F52A88" w:rsidRDefault="00813D61" w:rsidP="001F6024">
            <w:pPr>
              <w:autoSpaceDE w:val="0"/>
              <w:autoSpaceDN w:val="0"/>
              <w:adjustRightInd w:val="0"/>
              <w:spacing w:after="0" w:line="240" w:lineRule="auto"/>
              <w:ind w:left="60" w:right="60"/>
              <w:rPr>
                <w:rFonts w:ascii="Book Antiqua" w:hAnsi="Book Antiqua" w:cs="Arial"/>
                <w:color w:val="000000"/>
                <w:sz w:val="18"/>
                <w:szCs w:val="18"/>
                <w:lang w:bidi="ar-SA"/>
              </w:rPr>
            </w:pPr>
            <w:r w:rsidRPr="00F52A88">
              <w:rPr>
                <w:rFonts w:ascii="Book Antiqua" w:hAnsi="Book Antiqua" w:cs="Arial"/>
                <w:color w:val="000000"/>
                <w:sz w:val="18"/>
                <w:szCs w:val="18"/>
                <w:lang w:bidi="ar-SA"/>
              </w:rPr>
              <w:t>Sig. (1-tailed)</w:t>
            </w:r>
          </w:p>
        </w:tc>
        <w:tc>
          <w:tcPr>
            <w:tcW w:w="2425" w:type="dxa"/>
            <w:tcBorders>
              <w:left w:val="nil"/>
              <w:bottom w:val="nil"/>
              <w:right w:val="nil"/>
            </w:tcBorders>
            <w:shd w:val="clear" w:color="auto" w:fill="auto"/>
          </w:tcPr>
          <w:p w:rsidR="00813D61" w:rsidRPr="00F52A88" w:rsidRDefault="00813D61" w:rsidP="001F6024">
            <w:pPr>
              <w:autoSpaceDE w:val="0"/>
              <w:autoSpaceDN w:val="0"/>
              <w:adjustRightInd w:val="0"/>
              <w:spacing w:after="0" w:line="240" w:lineRule="auto"/>
              <w:ind w:left="60" w:right="60"/>
              <w:rPr>
                <w:rFonts w:ascii="Book Antiqua" w:hAnsi="Book Antiqua" w:cs="Arial"/>
                <w:color w:val="000000"/>
                <w:sz w:val="18"/>
                <w:szCs w:val="18"/>
                <w:lang w:bidi="ar-SA"/>
              </w:rPr>
            </w:pPr>
            <w:r w:rsidRPr="00F52A88">
              <w:rPr>
                <w:rFonts w:ascii="Book Antiqua" w:hAnsi="Book Antiqua" w:cs="Arial"/>
                <w:color w:val="000000"/>
                <w:sz w:val="18"/>
                <w:szCs w:val="18"/>
                <w:lang w:bidi="ar-SA"/>
              </w:rPr>
              <w:t>US$ per Zambian Kwacha</w:t>
            </w:r>
          </w:p>
        </w:tc>
        <w:tc>
          <w:tcPr>
            <w:tcW w:w="1455" w:type="dxa"/>
            <w:tcBorders>
              <w:left w:val="nil"/>
              <w:bottom w:val="nil"/>
              <w:right w:val="nil"/>
            </w:tcBorders>
            <w:shd w:val="clear" w:color="auto" w:fill="auto"/>
          </w:tcPr>
          <w:p w:rsidR="00813D61" w:rsidRPr="00F52A88" w:rsidRDefault="00813D61" w:rsidP="001F6024">
            <w:pPr>
              <w:autoSpaceDE w:val="0"/>
              <w:autoSpaceDN w:val="0"/>
              <w:adjustRightInd w:val="0"/>
              <w:spacing w:after="0" w:line="240" w:lineRule="auto"/>
              <w:ind w:left="60" w:right="60"/>
              <w:jc w:val="center"/>
              <w:rPr>
                <w:rFonts w:ascii="Book Antiqua" w:hAnsi="Book Antiqua" w:cs="Arial"/>
                <w:color w:val="000000"/>
                <w:sz w:val="18"/>
                <w:szCs w:val="18"/>
                <w:lang w:bidi="ar-SA"/>
              </w:rPr>
            </w:pPr>
            <w:r w:rsidRPr="00F52A88">
              <w:rPr>
                <w:rFonts w:ascii="Book Antiqua" w:hAnsi="Book Antiqua" w:cs="Arial"/>
                <w:color w:val="000000"/>
                <w:sz w:val="18"/>
                <w:szCs w:val="18"/>
                <w:lang w:bidi="ar-SA"/>
              </w:rPr>
              <w:t>.</w:t>
            </w:r>
          </w:p>
        </w:tc>
        <w:tc>
          <w:tcPr>
            <w:tcW w:w="1453" w:type="dxa"/>
            <w:tcBorders>
              <w:left w:val="nil"/>
              <w:bottom w:val="nil"/>
              <w:right w:val="nil"/>
            </w:tcBorders>
            <w:shd w:val="clear" w:color="auto" w:fill="auto"/>
          </w:tcPr>
          <w:p w:rsidR="00813D61" w:rsidRPr="00F52A88" w:rsidRDefault="00813D61" w:rsidP="001F6024">
            <w:pPr>
              <w:autoSpaceDE w:val="0"/>
              <w:autoSpaceDN w:val="0"/>
              <w:adjustRightInd w:val="0"/>
              <w:spacing w:after="0" w:line="240" w:lineRule="auto"/>
              <w:ind w:left="60" w:right="60"/>
              <w:jc w:val="center"/>
              <w:rPr>
                <w:rFonts w:ascii="Book Antiqua" w:hAnsi="Book Antiqua" w:cs="Arial"/>
                <w:color w:val="000000"/>
                <w:sz w:val="18"/>
                <w:szCs w:val="18"/>
                <w:lang w:bidi="ar-SA"/>
              </w:rPr>
            </w:pPr>
            <w:r w:rsidRPr="00F52A88">
              <w:rPr>
                <w:rFonts w:ascii="Book Antiqua" w:hAnsi="Book Antiqua" w:cs="Arial"/>
                <w:color w:val="000000"/>
                <w:sz w:val="18"/>
                <w:szCs w:val="18"/>
                <w:lang w:bidi="ar-SA"/>
              </w:rPr>
              <w:t>.000</w:t>
            </w:r>
          </w:p>
        </w:tc>
        <w:tc>
          <w:tcPr>
            <w:tcW w:w="1455" w:type="dxa"/>
            <w:tcBorders>
              <w:left w:val="nil"/>
              <w:bottom w:val="nil"/>
              <w:right w:val="nil"/>
            </w:tcBorders>
            <w:shd w:val="clear" w:color="auto" w:fill="auto"/>
          </w:tcPr>
          <w:p w:rsidR="00813D61" w:rsidRPr="00F52A88" w:rsidRDefault="00813D61" w:rsidP="001F6024">
            <w:pPr>
              <w:autoSpaceDE w:val="0"/>
              <w:autoSpaceDN w:val="0"/>
              <w:adjustRightInd w:val="0"/>
              <w:spacing w:after="0" w:line="240" w:lineRule="auto"/>
              <w:ind w:left="60" w:right="60"/>
              <w:jc w:val="center"/>
              <w:rPr>
                <w:rFonts w:ascii="Book Antiqua" w:hAnsi="Book Antiqua" w:cs="Arial"/>
                <w:color w:val="000000"/>
                <w:sz w:val="18"/>
                <w:szCs w:val="18"/>
                <w:lang w:bidi="ar-SA"/>
              </w:rPr>
            </w:pPr>
            <w:r w:rsidRPr="00F52A88">
              <w:rPr>
                <w:rFonts w:ascii="Book Antiqua" w:hAnsi="Book Antiqua" w:cs="Arial"/>
                <w:color w:val="000000"/>
                <w:sz w:val="18"/>
                <w:szCs w:val="18"/>
                <w:lang w:bidi="ar-SA"/>
              </w:rPr>
              <w:t>.001</w:t>
            </w:r>
          </w:p>
        </w:tc>
      </w:tr>
      <w:tr w:rsidR="00813D61" w:rsidRPr="00F52A88" w:rsidTr="001F6024">
        <w:trPr>
          <w:cantSplit/>
          <w:tblHeader/>
        </w:trPr>
        <w:tc>
          <w:tcPr>
            <w:tcW w:w="1969" w:type="dxa"/>
            <w:vMerge/>
            <w:tcBorders>
              <w:left w:val="nil"/>
              <w:bottom w:val="double" w:sz="8" w:space="0" w:color="000000"/>
              <w:right w:val="nil"/>
            </w:tcBorders>
            <w:shd w:val="clear" w:color="auto" w:fill="auto"/>
          </w:tcPr>
          <w:p w:rsidR="00813D61" w:rsidRPr="00F52A88" w:rsidRDefault="00813D61" w:rsidP="001F6024">
            <w:pPr>
              <w:autoSpaceDE w:val="0"/>
              <w:autoSpaceDN w:val="0"/>
              <w:adjustRightInd w:val="0"/>
              <w:spacing w:after="0" w:line="240" w:lineRule="auto"/>
              <w:rPr>
                <w:rFonts w:ascii="Book Antiqua" w:hAnsi="Book Antiqua" w:cs="Arial"/>
                <w:color w:val="000000"/>
                <w:sz w:val="18"/>
                <w:szCs w:val="18"/>
                <w:lang w:bidi="ar-SA"/>
              </w:rPr>
            </w:pPr>
          </w:p>
        </w:tc>
        <w:tc>
          <w:tcPr>
            <w:tcW w:w="2425" w:type="dxa"/>
            <w:tcBorders>
              <w:top w:val="nil"/>
              <w:left w:val="nil"/>
              <w:bottom w:val="nil"/>
              <w:right w:val="nil"/>
            </w:tcBorders>
            <w:shd w:val="clear" w:color="auto" w:fill="auto"/>
          </w:tcPr>
          <w:p w:rsidR="00813D61" w:rsidRPr="00F52A88" w:rsidRDefault="00813D61" w:rsidP="001F6024">
            <w:pPr>
              <w:autoSpaceDE w:val="0"/>
              <w:autoSpaceDN w:val="0"/>
              <w:adjustRightInd w:val="0"/>
              <w:spacing w:after="0" w:line="240" w:lineRule="auto"/>
              <w:ind w:left="60" w:right="60"/>
              <w:rPr>
                <w:rFonts w:ascii="Book Antiqua" w:hAnsi="Book Antiqua" w:cs="Arial"/>
                <w:color w:val="000000"/>
                <w:sz w:val="18"/>
                <w:szCs w:val="18"/>
                <w:lang w:bidi="ar-SA"/>
              </w:rPr>
            </w:pPr>
            <w:r w:rsidRPr="00F52A88">
              <w:rPr>
                <w:rFonts w:ascii="Book Antiqua" w:hAnsi="Book Antiqua" w:cs="Arial"/>
                <w:color w:val="000000"/>
                <w:sz w:val="18"/>
                <w:szCs w:val="18"/>
                <w:lang w:bidi="ar-SA"/>
              </w:rPr>
              <w:t>Inflation, consumer prices (annual %)</w:t>
            </w:r>
          </w:p>
        </w:tc>
        <w:tc>
          <w:tcPr>
            <w:tcW w:w="1455" w:type="dxa"/>
            <w:tcBorders>
              <w:top w:val="nil"/>
              <w:left w:val="nil"/>
              <w:bottom w:val="nil"/>
              <w:right w:val="nil"/>
            </w:tcBorders>
            <w:shd w:val="clear" w:color="auto" w:fill="auto"/>
          </w:tcPr>
          <w:p w:rsidR="00813D61" w:rsidRPr="00F52A88" w:rsidRDefault="00813D61" w:rsidP="001F6024">
            <w:pPr>
              <w:autoSpaceDE w:val="0"/>
              <w:autoSpaceDN w:val="0"/>
              <w:adjustRightInd w:val="0"/>
              <w:spacing w:after="0" w:line="240" w:lineRule="auto"/>
              <w:ind w:left="60" w:right="60"/>
              <w:jc w:val="center"/>
              <w:rPr>
                <w:rFonts w:ascii="Book Antiqua" w:hAnsi="Book Antiqua" w:cs="Arial"/>
                <w:color w:val="000000"/>
                <w:sz w:val="18"/>
                <w:szCs w:val="18"/>
                <w:lang w:bidi="ar-SA"/>
              </w:rPr>
            </w:pPr>
            <w:r w:rsidRPr="00F52A88">
              <w:rPr>
                <w:rFonts w:ascii="Book Antiqua" w:hAnsi="Book Antiqua" w:cs="Arial"/>
                <w:color w:val="000000"/>
                <w:sz w:val="18"/>
                <w:szCs w:val="18"/>
                <w:lang w:bidi="ar-SA"/>
              </w:rPr>
              <w:t>.000</w:t>
            </w:r>
          </w:p>
        </w:tc>
        <w:tc>
          <w:tcPr>
            <w:tcW w:w="1453" w:type="dxa"/>
            <w:tcBorders>
              <w:top w:val="nil"/>
              <w:left w:val="nil"/>
              <w:bottom w:val="nil"/>
              <w:right w:val="nil"/>
            </w:tcBorders>
            <w:shd w:val="clear" w:color="auto" w:fill="auto"/>
          </w:tcPr>
          <w:p w:rsidR="00813D61" w:rsidRPr="00F52A88" w:rsidRDefault="00813D61" w:rsidP="001F6024">
            <w:pPr>
              <w:autoSpaceDE w:val="0"/>
              <w:autoSpaceDN w:val="0"/>
              <w:adjustRightInd w:val="0"/>
              <w:spacing w:after="0" w:line="240" w:lineRule="auto"/>
              <w:ind w:left="60" w:right="60"/>
              <w:jc w:val="center"/>
              <w:rPr>
                <w:rFonts w:ascii="Book Antiqua" w:hAnsi="Book Antiqua" w:cs="Arial"/>
                <w:color w:val="000000"/>
                <w:sz w:val="18"/>
                <w:szCs w:val="18"/>
                <w:lang w:bidi="ar-SA"/>
              </w:rPr>
            </w:pPr>
            <w:r w:rsidRPr="00F52A88">
              <w:rPr>
                <w:rFonts w:ascii="Book Antiqua" w:hAnsi="Book Antiqua" w:cs="Arial"/>
                <w:color w:val="000000"/>
                <w:sz w:val="18"/>
                <w:szCs w:val="18"/>
                <w:lang w:bidi="ar-SA"/>
              </w:rPr>
              <w:t>.</w:t>
            </w:r>
          </w:p>
        </w:tc>
        <w:tc>
          <w:tcPr>
            <w:tcW w:w="1455" w:type="dxa"/>
            <w:tcBorders>
              <w:top w:val="nil"/>
              <w:left w:val="nil"/>
              <w:bottom w:val="nil"/>
              <w:right w:val="nil"/>
            </w:tcBorders>
            <w:shd w:val="clear" w:color="auto" w:fill="auto"/>
          </w:tcPr>
          <w:p w:rsidR="00813D61" w:rsidRPr="00F52A88" w:rsidRDefault="00813D61" w:rsidP="001F6024">
            <w:pPr>
              <w:autoSpaceDE w:val="0"/>
              <w:autoSpaceDN w:val="0"/>
              <w:adjustRightInd w:val="0"/>
              <w:spacing w:after="0" w:line="240" w:lineRule="auto"/>
              <w:ind w:left="60" w:right="60"/>
              <w:jc w:val="center"/>
              <w:rPr>
                <w:rFonts w:ascii="Book Antiqua" w:hAnsi="Book Antiqua" w:cs="Arial"/>
                <w:color w:val="000000"/>
                <w:sz w:val="18"/>
                <w:szCs w:val="18"/>
                <w:lang w:bidi="ar-SA"/>
              </w:rPr>
            </w:pPr>
            <w:r w:rsidRPr="00F52A88">
              <w:rPr>
                <w:rFonts w:ascii="Book Antiqua" w:hAnsi="Book Antiqua" w:cs="Arial"/>
                <w:color w:val="000000"/>
                <w:sz w:val="18"/>
                <w:szCs w:val="18"/>
                <w:lang w:bidi="ar-SA"/>
              </w:rPr>
              <w:t>.000</w:t>
            </w:r>
          </w:p>
        </w:tc>
      </w:tr>
      <w:tr w:rsidR="00813D61" w:rsidRPr="00F52A88" w:rsidTr="001F6024">
        <w:trPr>
          <w:cantSplit/>
        </w:trPr>
        <w:tc>
          <w:tcPr>
            <w:tcW w:w="1969" w:type="dxa"/>
            <w:vMerge/>
            <w:tcBorders>
              <w:left w:val="nil"/>
              <w:bottom w:val="double" w:sz="12" w:space="0" w:color="000000"/>
              <w:right w:val="nil"/>
            </w:tcBorders>
            <w:shd w:val="clear" w:color="auto" w:fill="auto"/>
          </w:tcPr>
          <w:p w:rsidR="00813D61" w:rsidRPr="00F52A88" w:rsidRDefault="00813D61" w:rsidP="001F6024">
            <w:pPr>
              <w:autoSpaceDE w:val="0"/>
              <w:autoSpaceDN w:val="0"/>
              <w:adjustRightInd w:val="0"/>
              <w:spacing w:after="0" w:line="240" w:lineRule="auto"/>
              <w:rPr>
                <w:rFonts w:ascii="Book Antiqua" w:hAnsi="Book Antiqua" w:cs="Arial"/>
                <w:color w:val="000000"/>
                <w:sz w:val="18"/>
                <w:szCs w:val="18"/>
                <w:lang w:bidi="ar-SA"/>
              </w:rPr>
            </w:pPr>
          </w:p>
        </w:tc>
        <w:tc>
          <w:tcPr>
            <w:tcW w:w="2425" w:type="dxa"/>
            <w:tcBorders>
              <w:top w:val="nil"/>
              <w:left w:val="nil"/>
              <w:bottom w:val="double" w:sz="12" w:space="0" w:color="000000"/>
              <w:right w:val="nil"/>
            </w:tcBorders>
            <w:shd w:val="clear" w:color="auto" w:fill="auto"/>
          </w:tcPr>
          <w:p w:rsidR="00813D61" w:rsidRPr="00F52A88" w:rsidRDefault="00813D61" w:rsidP="001F6024">
            <w:pPr>
              <w:autoSpaceDE w:val="0"/>
              <w:autoSpaceDN w:val="0"/>
              <w:adjustRightInd w:val="0"/>
              <w:spacing w:after="0" w:line="240" w:lineRule="auto"/>
              <w:ind w:left="60" w:right="60"/>
              <w:rPr>
                <w:rFonts w:ascii="Book Antiqua" w:hAnsi="Book Antiqua" w:cs="Arial"/>
                <w:color w:val="000000"/>
                <w:sz w:val="18"/>
                <w:szCs w:val="18"/>
                <w:lang w:bidi="ar-SA"/>
              </w:rPr>
            </w:pPr>
            <w:r w:rsidRPr="00F52A88">
              <w:rPr>
                <w:rFonts w:ascii="Book Antiqua" w:hAnsi="Book Antiqua" w:cs="Arial"/>
                <w:color w:val="000000"/>
                <w:sz w:val="18"/>
                <w:szCs w:val="18"/>
                <w:lang w:bidi="ar-SA"/>
              </w:rPr>
              <w:t>Lending interest rate (%)</w:t>
            </w:r>
          </w:p>
        </w:tc>
        <w:tc>
          <w:tcPr>
            <w:tcW w:w="1455" w:type="dxa"/>
            <w:tcBorders>
              <w:top w:val="nil"/>
              <w:left w:val="nil"/>
              <w:bottom w:val="double" w:sz="12" w:space="0" w:color="000000"/>
              <w:right w:val="nil"/>
            </w:tcBorders>
            <w:shd w:val="clear" w:color="auto" w:fill="auto"/>
          </w:tcPr>
          <w:p w:rsidR="00813D61" w:rsidRPr="00F52A88" w:rsidRDefault="00813D61" w:rsidP="001F6024">
            <w:pPr>
              <w:autoSpaceDE w:val="0"/>
              <w:autoSpaceDN w:val="0"/>
              <w:adjustRightInd w:val="0"/>
              <w:spacing w:after="0" w:line="240" w:lineRule="auto"/>
              <w:ind w:left="60" w:right="60"/>
              <w:jc w:val="center"/>
              <w:rPr>
                <w:rFonts w:ascii="Book Antiqua" w:hAnsi="Book Antiqua" w:cs="Arial"/>
                <w:color w:val="000000"/>
                <w:sz w:val="18"/>
                <w:szCs w:val="18"/>
                <w:lang w:bidi="ar-SA"/>
              </w:rPr>
            </w:pPr>
            <w:r w:rsidRPr="00F52A88">
              <w:rPr>
                <w:rFonts w:ascii="Book Antiqua" w:hAnsi="Book Antiqua" w:cs="Arial"/>
                <w:color w:val="000000"/>
                <w:sz w:val="18"/>
                <w:szCs w:val="18"/>
                <w:lang w:bidi="ar-SA"/>
              </w:rPr>
              <w:t>.001</w:t>
            </w:r>
          </w:p>
        </w:tc>
        <w:tc>
          <w:tcPr>
            <w:tcW w:w="1453" w:type="dxa"/>
            <w:tcBorders>
              <w:top w:val="nil"/>
              <w:left w:val="nil"/>
              <w:bottom w:val="double" w:sz="12" w:space="0" w:color="000000"/>
              <w:right w:val="nil"/>
            </w:tcBorders>
            <w:shd w:val="clear" w:color="auto" w:fill="auto"/>
          </w:tcPr>
          <w:p w:rsidR="00813D61" w:rsidRPr="00F52A88" w:rsidRDefault="00813D61" w:rsidP="001F6024">
            <w:pPr>
              <w:autoSpaceDE w:val="0"/>
              <w:autoSpaceDN w:val="0"/>
              <w:adjustRightInd w:val="0"/>
              <w:spacing w:after="0" w:line="240" w:lineRule="auto"/>
              <w:ind w:left="60" w:right="60"/>
              <w:jc w:val="center"/>
              <w:rPr>
                <w:rFonts w:ascii="Book Antiqua" w:hAnsi="Book Antiqua" w:cs="Arial"/>
                <w:color w:val="000000"/>
                <w:sz w:val="18"/>
                <w:szCs w:val="18"/>
                <w:lang w:bidi="ar-SA"/>
              </w:rPr>
            </w:pPr>
            <w:r w:rsidRPr="00F52A88">
              <w:rPr>
                <w:rFonts w:ascii="Book Antiqua" w:hAnsi="Book Antiqua" w:cs="Arial"/>
                <w:color w:val="000000"/>
                <w:sz w:val="18"/>
                <w:szCs w:val="18"/>
                <w:lang w:bidi="ar-SA"/>
              </w:rPr>
              <w:t>.000</w:t>
            </w:r>
          </w:p>
        </w:tc>
        <w:tc>
          <w:tcPr>
            <w:tcW w:w="1455" w:type="dxa"/>
            <w:tcBorders>
              <w:top w:val="nil"/>
              <w:left w:val="nil"/>
              <w:bottom w:val="double" w:sz="12" w:space="0" w:color="000000"/>
              <w:right w:val="nil"/>
            </w:tcBorders>
            <w:shd w:val="clear" w:color="auto" w:fill="auto"/>
          </w:tcPr>
          <w:p w:rsidR="00813D61" w:rsidRPr="00F52A88" w:rsidRDefault="00813D61" w:rsidP="001F6024">
            <w:pPr>
              <w:autoSpaceDE w:val="0"/>
              <w:autoSpaceDN w:val="0"/>
              <w:adjustRightInd w:val="0"/>
              <w:spacing w:after="0" w:line="240" w:lineRule="auto"/>
              <w:ind w:left="60" w:right="60"/>
              <w:jc w:val="center"/>
              <w:rPr>
                <w:rFonts w:ascii="Book Antiqua" w:hAnsi="Book Antiqua" w:cs="Arial"/>
                <w:color w:val="000000"/>
                <w:sz w:val="18"/>
                <w:szCs w:val="18"/>
                <w:lang w:bidi="ar-SA"/>
              </w:rPr>
            </w:pPr>
            <w:r w:rsidRPr="00F52A88">
              <w:rPr>
                <w:rFonts w:ascii="Book Antiqua" w:hAnsi="Book Antiqua" w:cs="Arial"/>
                <w:color w:val="000000"/>
                <w:sz w:val="18"/>
                <w:szCs w:val="18"/>
                <w:lang w:bidi="ar-SA"/>
              </w:rPr>
              <w:t>.</w:t>
            </w:r>
          </w:p>
        </w:tc>
      </w:tr>
    </w:tbl>
    <w:p w:rsidR="00813D61" w:rsidRPr="00F52A88" w:rsidRDefault="00AA467C" w:rsidP="00F52A88">
      <w:pPr>
        <w:pStyle w:val="Caption"/>
        <w:jc w:val="both"/>
        <w:rPr>
          <w:rFonts w:ascii="Book Antiqua" w:hAnsi="Book Antiqua" w:cs="Times New Roman"/>
          <w:color w:val="auto"/>
          <w:sz w:val="20"/>
          <w:szCs w:val="20"/>
          <w:lang w:bidi="ar-SA"/>
        </w:rPr>
      </w:pPr>
      <w:r w:rsidRPr="00F52A88">
        <w:rPr>
          <w:rFonts w:ascii="Book Antiqua" w:hAnsi="Book Antiqua"/>
          <w:color w:val="auto"/>
          <w:sz w:val="20"/>
          <w:szCs w:val="20"/>
        </w:rPr>
        <w:t xml:space="preserve">Table </w:t>
      </w:r>
      <w:r w:rsidR="00136A4B" w:rsidRPr="00F52A88">
        <w:rPr>
          <w:rFonts w:ascii="Book Antiqua" w:hAnsi="Book Antiqua"/>
          <w:color w:val="auto"/>
          <w:sz w:val="20"/>
          <w:szCs w:val="20"/>
        </w:rPr>
        <w:fldChar w:fldCharType="begin"/>
      </w:r>
      <w:r w:rsidRPr="00F52A88">
        <w:rPr>
          <w:rFonts w:ascii="Book Antiqua" w:hAnsi="Book Antiqua"/>
          <w:color w:val="auto"/>
          <w:sz w:val="20"/>
          <w:szCs w:val="20"/>
        </w:rPr>
        <w:instrText xml:space="preserve"> SEQ Table \* ARABIC </w:instrText>
      </w:r>
      <w:r w:rsidR="00136A4B" w:rsidRPr="00F52A88">
        <w:rPr>
          <w:rFonts w:ascii="Book Antiqua" w:hAnsi="Book Antiqua"/>
          <w:color w:val="auto"/>
          <w:sz w:val="20"/>
          <w:szCs w:val="20"/>
        </w:rPr>
        <w:fldChar w:fldCharType="separate"/>
      </w:r>
      <w:r w:rsidRPr="00F52A88">
        <w:rPr>
          <w:rFonts w:ascii="Book Antiqua" w:hAnsi="Book Antiqua"/>
          <w:noProof/>
          <w:color w:val="auto"/>
          <w:sz w:val="20"/>
          <w:szCs w:val="20"/>
        </w:rPr>
        <w:t>1</w:t>
      </w:r>
      <w:r w:rsidR="00136A4B" w:rsidRPr="00F52A88">
        <w:rPr>
          <w:rFonts w:ascii="Book Antiqua" w:hAnsi="Book Antiqua"/>
          <w:color w:val="auto"/>
          <w:sz w:val="20"/>
          <w:szCs w:val="20"/>
        </w:rPr>
        <w:fldChar w:fldCharType="end"/>
      </w:r>
      <w:r w:rsidRPr="00F52A88">
        <w:rPr>
          <w:rFonts w:ascii="Book Antiqua" w:hAnsi="Book Antiqua"/>
          <w:color w:val="auto"/>
          <w:sz w:val="20"/>
          <w:szCs w:val="20"/>
        </w:rPr>
        <w:t xml:space="preserve">: </w:t>
      </w:r>
      <w:r w:rsidRPr="00F52A88">
        <w:rPr>
          <w:rFonts w:ascii="Book Antiqua" w:hAnsi="Book Antiqua"/>
          <w:b w:val="0"/>
          <w:color w:val="auto"/>
          <w:sz w:val="20"/>
          <w:szCs w:val="20"/>
        </w:rPr>
        <w:t>Summary of the results from the correlation coefficient model on financial indicators of Zambia</w:t>
      </w:r>
      <w:r w:rsidRPr="00F52A88">
        <w:rPr>
          <w:rFonts w:ascii="Book Antiqua" w:hAnsi="Book Antiqua"/>
          <w:color w:val="auto"/>
          <w:sz w:val="20"/>
          <w:szCs w:val="20"/>
        </w:rPr>
        <w:t xml:space="preserve"> </w:t>
      </w:r>
    </w:p>
    <w:p w:rsidR="00720A37" w:rsidRDefault="00720A37" w:rsidP="00F52A88">
      <w:pPr>
        <w:spacing w:line="360" w:lineRule="auto"/>
        <w:jc w:val="both"/>
        <w:rPr>
          <w:rFonts w:ascii="Book Antiqua" w:hAnsi="Book Antiqua"/>
          <w:color w:val="000000"/>
          <w:sz w:val="24"/>
          <w:szCs w:val="24"/>
        </w:rPr>
      </w:pPr>
    </w:p>
    <w:p w:rsidR="00813D61" w:rsidRDefault="00813D61" w:rsidP="00F52A88">
      <w:pPr>
        <w:spacing w:line="360" w:lineRule="auto"/>
        <w:jc w:val="both"/>
        <w:rPr>
          <w:rFonts w:ascii="Book Antiqua" w:hAnsi="Book Antiqua"/>
          <w:color w:val="000000"/>
          <w:sz w:val="24"/>
          <w:szCs w:val="24"/>
        </w:rPr>
      </w:pPr>
      <w:r w:rsidRPr="00F52A88">
        <w:rPr>
          <w:rFonts w:ascii="Book Antiqua" w:hAnsi="Book Antiqua"/>
          <w:color w:val="000000"/>
          <w:sz w:val="24"/>
          <w:szCs w:val="24"/>
        </w:rPr>
        <w:t xml:space="preserve">In Table 2, the model shows that inflation and interest rates explain 69% of the variability of inflation.  This is an indication that the model fits the data well (Note: because the time series is less than 30, adjusted R Square has been used as opposed to R Square (73%). </w:t>
      </w:r>
    </w:p>
    <w:p w:rsidR="00F52A88" w:rsidRDefault="00F52A88" w:rsidP="00F52A88">
      <w:pPr>
        <w:spacing w:line="360" w:lineRule="auto"/>
        <w:jc w:val="both"/>
        <w:rPr>
          <w:rFonts w:ascii="Book Antiqua" w:hAnsi="Book Antiqua"/>
          <w:color w:val="000000"/>
          <w:sz w:val="24"/>
          <w:szCs w:val="24"/>
        </w:rPr>
      </w:pPr>
    </w:p>
    <w:p w:rsidR="005063C8" w:rsidRDefault="005063C8" w:rsidP="00F52A88">
      <w:pPr>
        <w:spacing w:line="360" w:lineRule="auto"/>
        <w:jc w:val="both"/>
        <w:rPr>
          <w:rFonts w:ascii="Book Antiqua" w:hAnsi="Book Antiqua"/>
          <w:color w:val="000000"/>
          <w:sz w:val="24"/>
          <w:szCs w:val="24"/>
        </w:rPr>
      </w:pPr>
    </w:p>
    <w:p w:rsidR="00F52A88" w:rsidRPr="00F52A88" w:rsidRDefault="00F52A88" w:rsidP="00F52A88">
      <w:pPr>
        <w:spacing w:line="360" w:lineRule="auto"/>
        <w:jc w:val="both"/>
        <w:rPr>
          <w:rFonts w:ascii="Book Antiqua" w:hAnsi="Book Antiqua"/>
          <w:color w:val="000000"/>
          <w:sz w:val="24"/>
          <w:szCs w:val="24"/>
        </w:rPr>
      </w:pPr>
    </w:p>
    <w:tbl>
      <w:tblPr>
        <w:tblW w:w="57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63"/>
        <w:gridCol w:w="727"/>
        <w:gridCol w:w="1010"/>
        <w:gridCol w:w="1077"/>
        <w:gridCol w:w="1456"/>
        <w:gridCol w:w="1456"/>
      </w:tblGrid>
      <w:tr w:rsidR="00813D61" w:rsidRPr="00F52A88" w:rsidTr="001F6024">
        <w:trPr>
          <w:cantSplit/>
          <w:tblHeader/>
          <w:jc w:val="center"/>
        </w:trPr>
        <w:tc>
          <w:tcPr>
            <w:tcW w:w="790" w:type="dxa"/>
            <w:gridSpan w:val="2"/>
            <w:tcBorders>
              <w:top w:val="double" w:sz="8" w:space="0" w:color="000000"/>
              <w:left w:val="nil"/>
              <w:bottom w:val="single" w:sz="16" w:space="0" w:color="000000"/>
              <w:right w:val="nil"/>
            </w:tcBorders>
            <w:shd w:val="clear" w:color="auto" w:fill="FFFFFF"/>
          </w:tcPr>
          <w:p w:rsidR="00813D61" w:rsidRPr="00F52A88" w:rsidRDefault="00813D61" w:rsidP="001F6024">
            <w:pPr>
              <w:autoSpaceDE w:val="0"/>
              <w:autoSpaceDN w:val="0"/>
              <w:adjustRightInd w:val="0"/>
              <w:spacing w:after="0" w:line="320" w:lineRule="atLeast"/>
              <w:ind w:left="60" w:right="60"/>
              <w:rPr>
                <w:rFonts w:ascii="Book Antiqua" w:hAnsi="Book Antiqua" w:cs="Arial"/>
                <w:color w:val="000000"/>
                <w:sz w:val="18"/>
                <w:szCs w:val="18"/>
              </w:rPr>
            </w:pPr>
            <w:r w:rsidRPr="00F52A88">
              <w:rPr>
                <w:rFonts w:ascii="Book Antiqua" w:hAnsi="Book Antiqua" w:cs="Arial"/>
                <w:color w:val="000000"/>
                <w:sz w:val="18"/>
                <w:szCs w:val="18"/>
              </w:rPr>
              <w:lastRenderedPageBreak/>
              <w:t>Model</w:t>
            </w:r>
          </w:p>
        </w:tc>
        <w:tc>
          <w:tcPr>
            <w:tcW w:w="1010" w:type="dxa"/>
            <w:tcBorders>
              <w:top w:val="double" w:sz="8" w:space="0" w:color="000000"/>
              <w:left w:val="nil"/>
              <w:bottom w:val="single" w:sz="16" w:space="0" w:color="000000"/>
              <w:right w:val="nil"/>
            </w:tcBorders>
            <w:shd w:val="clear" w:color="auto" w:fill="FFFFFF"/>
            <w:vAlign w:val="bottom"/>
          </w:tcPr>
          <w:p w:rsidR="00813D61" w:rsidRPr="00F52A88" w:rsidRDefault="00813D61" w:rsidP="001F6024">
            <w:pPr>
              <w:autoSpaceDE w:val="0"/>
              <w:autoSpaceDN w:val="0"/>
              <w:adjustRightInd w:val="0"/>
              <w:spacing w:after="0" w:line="320" w:lineRule="atLeast"/>
              <w:ind w:left="60" w:right="60"/>
              <w:rPr>
                <w:rFonts w:ascii="Book Antiqua" w:hAnsi="Book Antiqua" w:cs="Arial"/>
                <w:color w:val="000000"/>
                <w:sz w:val="18"/>
                <w:szCs w:val="18"/>
              </w:rPr>
            </w:pPr>
            <w:r w:rsidRPr="00F52A88">
              <w:rPr>
                <w:rFonts w:ascii="Book Antiqua" w:hAnsi="Book Antiqua" w:cs="Arial"/>
                <w:color w:val="000000"/>
                <w:sz w:val="18"/>
                <w:szCs w:val="18"/>
              </w:rPr>
              <w:t>R</w:t>
            </w:r>
          </w:p>
        </w:tc>
        <w:tc>
          <w:tcPr>
            <w:tcW w:w="1077" w:type="dxa"/>
            <w:tcBorders>
              <w:top w:val="double" w:sz="8" w:space="0" w:color="000000"/>
              <w:left w:val="nil"/>
              <w:bottom w:val="single" w:sz="16" w:space="0" w:color="000000"/>
              <w:right w:val="nil"/>
            </w:tcBorders>
            <w:shd w:val="clear" w:color="auto" w:fill="FFFFFF"/>
            <w:vAlign w:val="bottom"/>
          </w:tcPr>
          <w:p w:rsidR="00813D61" w:rsidRPr="00F52A88" w:rsidRDefault="00813D61" w:rsidP="001F6024">
            <w:pPr>
              <w:autoSpaceDE w:val="0"/>
              <w:autoSpaceDN w:val="0"/>
              <w:adjustRightInd w:val="0"/>
              <w:spacing w:after="0" w:line="320" w:lineRule="atLeast"/>
              <w:ind w:left="60" w:right="60"/>
              <w:jc w:val="center"/>
              <w:rPr>
                <w:rFonts w:ascii="Book Antiqua" w:hAnsi="Book Antiqua" w:cs="Arial"/>
                <w:color w:val="000000"/>
                <w:sz w:val="18"/>
                <w:szCs w:val="18"/>
              </w:rPr>
            </w:pPr>
            <w:r w:rsidRPr="00F52A88">
              <w:rPr>
                <w:rFonts w:ascii="Book Antiqua" w:hAnsi="Book Antiqua" w:cs="Arial"/>
                <w:color w:val="000000"/>
                <w:sz w:val="18"/>
                <w:szCs w:val="18"/>
              </w:rPr>
              <w:t>R Square</w:t>
            </w:r>
          </w:p>
        </w:tc>
        <w:tc>
          <w:tcPr>
            <w:tcW w:w="1456" w:type="dxa"/>
            <w:tcBorders>
              <w:top w:val="double" w:sz="8" w:space="0" w:color="000000"/>
              <w:left w:val="nil"/>
              <w:bottom w:val="single" w:sz="16" w:space="0" w:color="000000"/>
              <w:right w:val="nil"/>
            </w:tcBorders>
            <w:shd w:val="clear" w:color="auto" w:fill="FFFFFF"/>
            <w:vAlign w:val="bottom"/>
          </w:tcPr>
          <w:p w:rsidR="00813D61" w:rsidRPr="00F52A88" w:rsidRDefault="00813D61" w:rsidP="001F6024">
            <w:pPr>
              <w:autoSpaceDE w:val="0"/>
              <w:autoSpaceDN w:val="0"/>
              <w:adjustRightInd w:val="0"/>
              <w:spacing w:after="0" w:line="320" w:lineRule="atLeast"/>
              <w:ind w:left="60" w:right="60"/>
              <w:jc w:val="center"/>
              <w:rPr>
                <w:rFonts w:ascii="Book Antiqua" w:hAnsi="Book Antiqua" w:cs="Arial"/>
                <w:color w:val="000000"/>
                <w:sz w:val="18"/>
                <w:szCs w:val="18"/>
              </w:rPr>
            </w:pPr>
            <w:r w:rsidRPr="00F52A88">
              <w:rPr>
                <w:rFonts w:ascii="Book Antiqua" w:hAnsi="Book Antiqua" w:cs="Arial"/>
                <w:color w:val="000000"/>
                <w:sz w:val="18"/>
                <w:szCs w:val="18"/>
              </w:rPr>
              <w:t>Adjusted R Square</w:t>
            </w:r>
          </w:p>
        </w:tc>
        <w:tc>
          <w:tcPr>
            <w:tcW w:w="1456" w:type="dxa"/>
            <w:tcBorders>
              <w:top w:val="double" w:sz="8" w:space="0" w:color="000000"/>
              <w:left w:val="nil"/>
              <w:bottom w:val="single" w:sz="16" w:space="0" w:color="000000"/>
              <w:right w:val="nil"/>
            </w:tcBorders>
            <w:shd w:val="clear" w:color="auto" w:fill="FFFFFF"/>
            <w:vAlign w:val="bottom"/>
          </w:tcPr>
          <w:p w:rsidR="00813D61" w:rsidRPr="00F52A88" w:rsidRDefault="00813D61" w:rsidP="001F6024">
            <w:pPr>
              <w:autoSpaceDE w:val="0"/>
              <w:autoSpaceDN w:val="0"/>
              <w:adjustRightInd w:val="0"/>
              <w:spacing w:after="0" w:line="320" w:lineRule="atLeast"/>
              <w:ind w:left="60" w:right="60"/>
              <w:jc w:val="center"/>
              <w:rPr>
                <w:rFonts w:ascii="Book Antiqua" w:hAnsi="Book Antiqua" w:cs="Arial"/>
                <w:color w:val="000000"/>
                <w:sz w:val="18"/>
                <w:szCs w:val="18"/>
              </w:rPr>
            </w:pPr>
            <w:r w:rsidRPr="00F52A88">
              <w:rPr>
                <w:rFonts w:ascii="Book Antiqua" w:hAnsi="Book Antiqua" w:cs="Arial"/>
                <w:color w:val="000000"/>
                <w:sz w:val="18"/>
                <w:szCs w:val="18"/>
              </w:rPr>
              <w:t>Std. Error of the Estimate</w:t>
            </w:r>
          </w:p>
        </w:tc>
      </w:tr>
      <w:tr w:rsidR="00813D61" w:rsidRPr="00F52A88" w:rsidTr="001F6024">
        <w:trPr>
          <w:cantSplit/>
          <w:tblHeader/>
          <w:jc w:val="center"/>
        </w:trPr>
        <w:tc>
          <w:tcPr>
            <w:tcW w:w="63" w:type="dxa"/>
            <w:tcBorders>
              <w:top w:val="single" w:sz="16" w:space="0" w:color="000000"/>
              <w:left w:val="nil"/>
              <w:bottom w:val="double" w:sz="8" w:space="0" w:color="000000"/>
              <w:right w:val="nil"/>
            </w:tcBorders>
            <w:shd w:val="clear" w:color="auto" w:fill="FFFFFF"/>
            <w:vAlign w:val="center"/>
          </w:tcPr>
          <w:p w:rsidR="00813D61" w:rsidRPr="00F52A88" w:rsidRDefault="00813D61" w:rsidP="001F6024">
            <w:pPr>
              <w:autoSpaceDE w:val="0"/>
              <w:autoSpaceDN w:val="0"/>
              <w:adjustRightInd w:val="0"/>
              <w:spacing w:after="0" w:line="320" w:lineRule="atLeast"/>
              <w:ind w:left="60" w:right="60"/>
              <w:jc w:val="right"/>
              <w:rPr>
                <w:rFonts w:ascii="Book Antiqua" w:hAnsi="Book Antiqua" w:cs="Arial"/>
                <w:color w:val="000000"/>
                <w:sz w:val="2"/>
                <w:szCs w:val="2"/>
              </w:rPr>
            </w:pPr>
          </w:p>
        </w:tc>
        <w:tc>
          <w:tcPr>
            <w:tcW w:w="727" w:type="dxa"/>
            <w:tcBorders>
              <w:top w:val="single" w:sz="16" w:space="0" w:color="000000"/>
              <w:left w:val="nil"/>
              <w:bottom w:val="double" w:sz="8" w:space="0" w:color="000000"/>
              <w:right w:val="nil"/>
            </w:tcBorders>
            <w:shd w:val="clear" w:color="auto" w:fill="FFFFFF"/>
          </w:tcPr>
          <w:p w:rsidR="00813D61" w:rsidRPr="00F52A88" w:rsidRDefault="00813D61" w:rsidP="001F6024">
            <w:pPr>
              <w:autoSpaceDE w:val="0"/>
              <w:autoSpaceDN w:val="0"/>
              <w:adjustRightInd w:val="0"/>
              <w:spacing w:after="0" w:line="320" w:lineRule="atLeast"/>
              <w:ind w:left="60" w:right="60"/>
              <w:rPr>
                <w:rFonts w:ascii="Book Antiqua" w:hAnsi="Book Antiqua" w:cs="Arial"/>
                <w:color w:val="000000"/>
                <w:sz w:val="18"/>
                <w:szCs w:val="18"/>
              </w:rPr>
            </w:pPr>
            <w:r w:rsidRPr="00F52A88">
              <w:rPr>
                <w:rFonts w:ascii="Book Antiqua" w:hAnsi="Book Antiqua" w:cs="Arial"/>
                <w:color w:val="000000"/>
                <w:sz w:val="18"/>
                <w:szCs w:val="18"/>
              </w:rPr>
              <w:t>1</w:t>
            </w:r>
          </w:p>
        </w:tc>
        <w:tc>
          <w:tcPr>
            <w:tcW w:w="1010" w:type="dxa"/>
            <w:tcBorders>
              <w:top w:val="single" w:sz="16" w:space="0" w:color="000000"/>
              <w:left w:val="nil"/>
              <w:bottom w:val="double" w:sz="8" w:space="0" w:color="000000"/>
              <w:right w:val="nil"/>
            </w:tcBorders>
            <w:shd w:val="clear" w:color="auto" w:fill="FFFFFF"/>
          </w:tcPr>
          <w:p w:rsidR="00813D61" w:rsidRPr="00F52A88" w:rsidRDefault="00813D61" w:rsidP="001F6024">
            <w:pPr>
              <w:autoSpaceDE w:val="0"/>
              <w:autoSpaceDN w:val="0"/>
              <w:adjustRightInd w:val="0"/>
              <w:spacing w:after="0" w:line="320" w:lineRule="atLeast"/>
              <w:ind w:left="60" w:right="60"/>
              <w:jc w:val="right"/>
              <w:rPr>
                <w:rFonts w:ascii="Book Antiqua" w:hAnsi="Book Antiqua" w:cs="Arial"/>
                <w:color w:val="000000"/>
                <w:sz w:val="18"/>
                <w:szCs w:val="18"/>
              </w:rPr>
            </w:pPr>
            <w:r w:rsidRPr="00F52A88">
              <w:rPr>
                <w:rFonts w:ascii="Book Antiqua" w:hAnsi="Book Antiqua" w:cs="Arial"/>
                <w:color w:val="000000"/>
                <w:sz w:val="18"/>
                <w:szCs w:val="18"/>
              </w:rPr>
              <w:t>.855</w:t>
            </w:r>
            <w:r w:rsidRPr="00F52A88">
              <w:rPr>
                <w:rFonts w:ascii="Book Antiqua" w:hAnsi="Book Antiqua" w:cs="Arial"/>
                <w:color w:val="000000"/>
                <w:sz w:val="18"/>
                <w:szCs w:val="18"/>
                <w:vertAlign w:val="superscript"/>
              </w:rPr>
              <w:t>a</w:t>
            </w:r>
            <w:r w:rsidRPr="00F52A88">
              <w:rPr>
                <w:rFonts w:ascii="Book Antiqua" w:hAnsi="Book Antiqua" w:cs="Arial"/>
                <w:color w:val="000000"/>
                <w:sz w:val="18"/>
                <w:szCs w:val="18"/>
              </w:rPr>
              <w:t>.</w:t>
            </w:r>
          </w:p>
        </w:tc>
        <w:tc>
          <w:tcPr>
            <w:tcW w:w="1077" w:type="dxa"/>
            <w:tcBorders>
              <w:top w:val="single" w:sz="16" w:space="0" w:color="000000"/>
              <w:left w:val="nil"/>
              <w:bottom w:val="double" w:sz="8" w:space="0" w:color="000000"/>
              <w:right w:val="nil"/>
            </w:tcBorders>
            <w:shd w:val="clear" w:color="auto" w:fill="FFFFFF"/>
          </w:tcPr>
          <w:p w:rsidR="00813D61" w:rsidRPr="00F52A88" w:rsidRDefault="00813D61" w:rsidP="001F6024">
            <w:pPr>
              <w:autoSpaceDE w:val="0"/>
              <w:autoSpaceDN w:val="0"/>
              <w:adjustRightInd w:val="0"/>
              <w:spacing w:after="0" w:line="320" w:lineRule="atLeast"/>
              <w:ind w:left="60" w:right="60"/>
              <w:jc w:val="right"/>
              <w:rPr>
                <w:rFonts w:ascii="Book Antiqua" w:hAnsi="Book Antiqua" w:cs="Arial"/>
                <w:color w:val="000000"/>
                <w:sz w:val="18"/>
                <w:szCs w:val="18"/>
              </w:rPr>
            </w:pPr>
            <w:r w:rsidRPr="00F52A88">
              <w:rPr>
                <w:rFonts w:ascii="Book Antiqua" w:hAnsi="Book Antiqua" w:cs="Arial"/>
                <w:color w:val="000000"/>
                <w:sz w:val="18"/>
                <w:szCs w:val="18"/>
              </w:rPr>
              <w:t>.731</w:t>
            </w:r>
          </w:p>
        </w:tc>
        <w:tc>
          <w:tcPr>
            <w:tcW w:w="1456" w:type="dxa"/>
            <w:tcBorders>
              <w:top w:val="single" w:sz="16" w:space="0" w:color="000000"/>
              <w:left w:val="nil"/>
              <w:bottom w:val="double" w:sz="8" w:space="0" w:color="000000"/>
              <w:right w:val="nil"/>
            </w:tcBorders>
            <w:shd w:val="clear" w:color="auto" w:fill="FFFFFF"/>
          </w:tcPr>
          <w:p w:rsidR="00813D61" w:rsidRPr="00F52A88" w:rsidRDefault="00813D61" w:rsidP="001F6024">
            <w:pPr>
              <w:autoSpaceDE w:val="0"/>
              <w:autoSpaceDN w:val="0"/>
              <w:adjustRightInd w:val="0"/>
              <w:spacing w:after="0" w:line="320" w:lineRule="atLeast"/>
              <w:ind w:left="60" w:right="60"/>
              <w:jc w:val="right"/>
              <w:rPr>
                <w:rFonts w:ascii="Book Antiqua" w:hAnsi="Book Antiqua" w:cs="Arial"/>
                <w:color w:val="000000"/>
                <w:sz w:val="18"/>
                <w:szCs w:val="18"/>
              </w:rPr>
            </w:pPr>
            <w:r w:rsidRPr="00F52A88">
              <w:rPr>
                <w:rFonts w:ascii="Book Antiqua" w:hAnsi="Book Antiqua" w:cs="Arial"/>
                <w:color w:val="000000"/>
                <w:sz w:val="18"/>
                <w:szCs w:val="18"/>
              </w:rPr>
              <w:t>.689</w:t>
            </w:r>
          </w:p>
        </w:tc>
        <w:tc>
          <w:tcPr>
            <w:tcW w:w="1456" w:type="dxa"/>
            <w:tcBorders>
              <w:top w:val="single" w:sz="16" w:space="0" w:color="000000"/>
              <w:left w:val="nil"/>
              <w:bottom w:val="double" w:sz="8" w:space="0" w:color="000000"/>
              <w:right w:val="nil"/>
            </w:tcBorders>
            <w:shd w:val="clear" w:color="auto" w:fill="FFFFFF"/>
          </w:tcPr>
          <w:p w:rsidR="00813D61" w:rsidRPr="00F52A88" w:rsidRDefault="00813D61" w:rsidP="001F6024">
            <w:pPr>
              <w:autoSpaceDE w:val="0"/>
              <w:autoSpaceDN w:val="0"/>
              <w:adjustRightInd w:val="0"/>
              <w:spacing w:after="0" w:line="320" w:lineRule="atLeast"/>
              <w:ind w:left="60" w:right="60"/>
              <w:jc w:val="right"/>
              <w:rPr>
                <w:rFonts w:ascii="Book Antiqua" w:hAnsi="Book Antiqua" w:cs="Arial"/>
                <w:color w:val="000000"/>
                <w:sz w:val="18"/>
                <w:szCs w:val="18"/>
              </w:rPr>
            </w:pPr>
            <w:r w:rsidRPr="00F52A88">
              <w:rPr>
                <w:rFonts w:ascii="Book Antiqua" w:hAnsi="Book Antiqua" w:cs="Arial"/>
                <w:color w:val="000000"/>
                <w:sz w:val="18"/>
                <w:szCs w:val="18"/>
              </w:rPr>
              <w:t>.000209109</w:t>
            </w:r>
          </w:p>
        </w:tc>
      </w:tr>
      <w:tr w:rsidR="00813D61" w:rsidRPr="00F52A88" w:rsidTr="001F6024">
        <w:trPr>
          <w:cantSplit/>
          <w:tblHeader/>
          <w:jc w:val="center"/>
        </w:trPr>
        <w:tc>
          <w:tcPr>
            <w:tcW w:w="5789" w:type="dxa"/>
            <w:gridSpan w:val="6"/>
            <w:tcBorders>
              <w:top w:val="nil"/>
              <w:left w:val="nil"/>
              <w:bottom w:val="nil"/>
              <w:right w:val="nil"/>
            </w:tcBorders>
            <w:shd w:val="clear" w:color="auto" w:fill="FFFFFF"/>
          </w:tcPr>
          <w:p w:rsidR="00813D61" w:rsidRPr="00F52A88" w:rsidRDefault="00813D61" w:rsidP="001F6024">
            <w:pPr>
              <w:autoSpaceDE w:val="0"/>
              <w:autoSpaceDN w:val="0"/>
              <w:adjustRightInd w:val="0"/>
              <w:spacing w:after="0" w:line="320" w:lineRule="atLeast"/>
              <w:ind w:left="60" w:right="60"/>
              <w:rPr>
                <w:rFonts w:ascii="Book Antiqua" w:hAnsi="Book Antiqua" w:cs="Arial"/>
                <w:color w:val="000000"/>
                <w:sz w:val="18"/>
                <w:szCs w:val="18"/>
              </w:rPr>
            </w:pPr>
            <w:r w:rsidRPr="00F52A88">
              <w:rPr>
                <w:rFonts w:ascii="Book Antiqua" w:hAnsi="Book Antiqua" w:cs="Arial"/>
                <w:color w:val="000000"/>
                <w:sz w:val="18"/>
                <w:szCs w:val="18"/>
              </w:rPr>
              <w:t>a. Predictors: (Constant), Lending interest rate (%), Inflation, consumer prices (annual %)</w:t>
            </w:r>
          </w:p>
        </w:tc>
      </w:tr>
      <w:tr w:rsidR="00813D61" w:rsidRPr="00F52A88" w:rsidTr="001F6024">
        <w:trPr>
          <w:cantSplit/>
          <w:jc w:val="center"/>
        </w:trPr>
        <w:tc>
          <w:tcPr>
            <w:tcW w:w="5789" w:type="dxa"/>
            <w:gridSpan w:val="6"/>
            <w:tcBorders>
              <w:top w:val="nil"/>
              <w:left w:val="nil"/>
              <w:bottom w:val="nil"/>
              <w:right w:val="nil"/>
            </w:tcBorders>
            <w:shd w:val="clear" w:color="auto" w:fill="FFFFFF"/>
          </w:tcPr>
          <w:p w:rsidR="00813D61" w:rsidRPr="00F52A88" w:rsidRDefault="00813D61" w:rsidP="001F6024">
            <w:pPr>
              <w:autoSpaceDE w:val="0"/>
              <w:autoSpaceDN w:val="0"/>
              <w:adjustRightInd w:val="0"/>
              <w:spacing w:after="0" w:line="320" w:lineRule="atLeast"/>
              <w:ind w:left="60" w:right="60"/>
              <w:rPr>
                <w:rFonts w:ascii="Book Antiqua" w:hAnsi="Book Antiqua" w:cs="Arial"/>
                <w:color w:val="000000"/>
                <w:sz w:val="18"/>
                <w:szCs w:val="18"/>
              </w:rPr>
            </w:pPr>
            <w:r w:rsidRPr="00F52A88">
              <w:rPr>
                <w:rFonts w:ascii="Book Antiqua" w:hAnsi="Book Antiqua" w:cs="Arial"/>
                <w:color w:val="000000"/>
                <w:sz w:val="18"/>
                <w:szCs w:val="18"/>
              </w:rPr>
              <w:t>b. Dependent Variable: US$ per Zambian Kwacha</w:t>
            </w:r>
          </w:p>
        </w:tc>
      </w:tr>
    </w:tbl>
    <w:p w:rsidR="00813D61" w:rsidRDefault="00813D61" w:rsidP="00813D61">
      <w:pPr>
        <w:autoSpaceDE w:val="0"/>
        <w:autoSpaceDN w:val="0"/>
        <w:adjustRightInd w:val="0"/>
        <w:spacing w:after="0" w:line="240" w:lineRule="auto"/>
        <w:rPr>
          <w:rFonts w:ascii="Times New Roman" w:hAnsi="Times New Roman" w:cs="Times New Roman"/>
          <w:sz w:val="24"/>
          <w:szCs w:val="24"/>
          <w:lang w:bidi="ar-SA"/>
        </w:rPr>
      </w:pPr>
    </w:p>
    <w:p w:rsidR="00AA467C" w:rsidRPr="00AA467C" w:rsidRDefault="00AA467C" w:rsidP="00AA467C">
      <w:pPr>
        <w:pStyle w:val="Caption"/>
        <w:jc w:val="both"/>
        <w:rPr>
          <w:rFonts w:ascii="Book Antiqua" w:hAnsi="Book Antiqua" w:cs="Times New Roman"/>
          <w:color w:val="auto"/>
          <w:sz w:val="20"/>
          <w:szCs w:val="20"/>
          <w:lang w:bidi="ar-SA"/>
        </w:rPr>
      </w:pPr>
      <w:r w:rsidRPr="00AA467C">
        <w:rPr>
          <w:rFonts w:ascii="Book Antiqua" w:hAnsi="Book Antiqua"/>
          <w:color w:val="auto"/>
          <w:sz w:val="20"/>
          <w:szCs w:val="20"/>
        </w:rPr>
        <w:t xml:space="preserve">Table </w:t>
      </w:r>
      <w:r w:rsidR="00136A4B" w:rsidRPr="00AA467C">
        <w:rPr>
          <w:rFonts w:ascii="Book Antiqua" w:hAnsi="Book Antiqua"/>
          <w:color w:val="auto"/>
          <w:sz w:val="20"/>
          <w:szCs w:val="20"/>
        </w:rPr>
        <w:fldChar w:fldCharType="begin"/>
      </w:r>
      <w:r w:rsidRPr="00AA467C">
        <w:rPr>
          <w:rFonts w:ascii="Book Antiqua" w:hAnsi="Book Antiqua"/>
          <w:color w:val="auto"/>
          <w:sz w:val="20"/>
          <w:szCs w:val="20"/>
        </w:rPr>
        <w:instrText xml:space="preserve"> SEQ Table \* ARABIC </w:instrText>
      </w:r>
      <w:r w:rsidR="00136A4B" w:rsidRPr="00AA467C">
        <w:rPr>
          <w:rFonts w:ascii="Book Antiqua" w:hAnsi="Book Antiqua"/>
          <w:color w:val="auto"/>
          <w:sz w:val="20"/>
          <w:szCs w:val="20"/>
        </w:rPr>
        <w:fldChar w:fldCharType="separate"/>
      </w:r>
      <w:r w:rsidRPr="00AA467C">
        <w:rPr>
          <w:rFonts w:ascii="Book Antiqua" w:hAnsi="Book Antiqua"/>
          <w:noProof/>
          <w:color w:val="auto"/>
          <w:sz w:val="20"/>
          <w:szCs w:val="20"/>
        </w:rPr>
        <w:t>2</w:t>
      </w:r>
      <w:r w:rsidR="00136A4B" w:rsidRPr="00AA467C">
        <w:rPr>
          <w:rFonts w:ascii="Book Antiqua" w:hAnsi="Book Antiqua"/>
          <w:color w:val="auto"/>
          <w:sz w:val="20"/>
          <w:szCs w:val="20"/>
        </w:rPr>
        <w:fldChar w:fldCharType="end"/>
      </w:r>
      <w:r w:rsidRPr="00AA467C">
        <w:rPr>
          <w:rFonts w:ascii="Book Antiqua" w:hAnsi="Book Antiqua"/>
          <w:color w:val="auto"/>
          <w:sz w:val="20"/>
          <w:szCs w:val="20"/>
        </w:rPr>
        <w:t xml:space="preserve">: </w:t>
      </w:r>
      <w:r w:rsidRPr="00AA467C">
        <w:rPr>
          <w:rFonts w:ascii="Book Antiqua" w:hAnsi="Book Antiqua"/>
          <w:b w:val="0"/>
          <w:i/>
          <w:color w:val="auto"/>
          <w:sz w:val="20"/>
          <w:szCs w:val="20"/>
        </w:rPr>
        <w:t>Regression Modeling Results based on the Financial indicators of Zambia</w:t>
      </w:r>
    </w:p>
    <w:p w:rsidR="00AA467C" w:rsidRDefault="00AA467C" w:rsidP="00813D61">
      <w:pPr>
        <w:autoSpaceDE w:val="0"/>
        <w:autoSpaceDN w:val="0"/>
        <w:adjustRightInd w:val="0"/>
        <w:spacing w:after="0" w:line="240" w:lineRule="auto"/>
        <w:rPr>
          <w:rFonts w:ascii="Times New Roman" w:hAnsi="Times New Roman" w:cs="Times New Roman"/>
          <w:sz w:val="24"/>
          <w:szCs w:val="24"/>
          <w:lang w:bidi="ar-SA"/>
        </w:rPr>
      </w:pPr>
    </w:p>
    <w:p w:rsidR="00813D61" w:rsidRDefault="00813D61" w:rsidP="00F25700">
      <w:pPr>
        <w:spacing w:line="360" w:lineRule="auto"/>
        <w:jc w:val="both"/>
        <w:rPr>
          <w:rFonts w:ascii="Book Antiqua" w:hAnsi="Book Antiqua"/>
          <w:color w:val="000000"/>
          <w:sz w:val="24"/>
          <w:szCs w:val="24"/>
        </w:rPr>
      </w:pPr>
      <w:r w:rsidRPr="00F25700">
        <w:rPr>
          <w:rFonts w:ascii="Book Antiqua" w:hAnsi="Book Antiqua"/>
          <w:color w:val="000000"/>
          <w:sz w:val="24"/>
          <w:szCs w:val="24"/>
        </w:rPr>
        <w:t xml:space="preserve">The above trends clearly show the relationships of the indicators amongst themselves. Given that construction costs in Zambia are a function of the strength of the domestic currency with reference to other currencies (the US Dollar in particular), high instability of all the above indicators pose a threat to the construction costs in Zambia. In other words the fluctuation of either the inflation rate or the interest rate or both is related to the fluctuation of the foreign exchange rate which in turn leads to fluctuations in construction costs. This </w:t>
      </w:r>
      <w:r w:rsidR="00720A37" w:rsidRPr="00F25700">
        <w:rPr>
          <w:rFonts w:ascii="Book Antiqua" w:hAnsi="Book Antiqua"/>
          <w:color w:val="000000"/>
          <w:sz w:val="24"/>
          <w:szCs w:val="24"/>
        </w:rPr>
        <w:t xml:space="preserve">is </w:t>
      </w:r>
      <w:r w:rsidR="00720A37">
        <w:rPr>
          <w:rFonts w:ascii="Book Antiqua" w:hAnsi="Book Antiqua"/>
          <w:color w:val="000000"/>
          <w:sz w:val="24"/>
          <w:szCs w:val="24"/>
        </w:rPr>
        <w:t xml:space="preserve">a key factor </w:t>
      </w:r>
      <w:r w:rsidR="00720A37" w:rsidRPr="00F25700">
        <w:rPr>
          <w:rFonts w:ascii="Book Antiqua" w:hAnsi="Book Antiqua"/>
          <w:color w:val="000000"/>
          <w:sz w:val="24"/>
          <w:szCs w:val="24"/>
        </w:rPr>
        <w:t>because</w:t>
      </w:r>
      <w:r w:rsidRPr="00F25700">
        <w:rPr>
          <w:rFonts w:ascii="Book Antiqua" w:hAnsi="Book Antiqua"/>
          <w:color w:val="000000"/>
          <w:sz w:val="24"/>
          <w:szCs w:val="24"/>
        </w:rPr>
        <w:t xml:space="preserve"> it is envisaged that foreign companies will be involved in PPP projects owing to the colossal amounts of money involved (which might be difficult to raise locally).</w:t>
      </w:r>
    </w:p>
    <w:p w:rsidR="00813D61" w:rsidRPr="00F25700" w:rsidRDefault="00813D61" w:rsidP="00F25700">
      <w:pPr>
        <w:spacing w:line="360" w:lineRule="auto"/>
        <w:jc w:val="both"/>
        <w:rPr>
          <w:rFonts w:ascii="Book Antiqua" w:hAnsi="Book Antiqua"/>
          <w:color w:val="000000"/>
          <w:sz w:val="24"/>
          <w:szCs w:val="24"/>
        </w:rPr>
      </w:pPr>
      <w:r w:rsidRPr="00F25700">
        <w:rPr>
          <w:rFonts w:ascii="Book Antiqua" w:hAnsi="Book Antiqua"/>
          <w:color w:val="000000"/>
          <w:sz w:val="24"/>
          <w:szCs w:val="24"/>
        </w:rPr>
        <w:t>It is imperative that the awarding authorities (the government) take this into account as it will have an impact on the unitary value that the government will pay the PPP providers for infrastructure for the duration of the contract which can be up to 30 years. This is likely to be a very expensive way of providing public services because the bill to the tax payer will actually be very high. This leads to the question of affordability and value for money. The question is whether the Zambian surveyors are engaging with the government to assess whether the infrastructure projects are affordable and provide value for money.</w:t>
      </w:r>
    </w:p>
    <w:p w:rsidR="00813D61" w:rsidRPr="00F52A88" w:rsidRDefault="00813D61" w:rsidP="00720A37">
      <w:pPr>
        <w:pStyle w:val="Heading2"/>
        <w:spacing w:line="360" w:lineRule="auto"/>
        <w:jc w:val="both"/>
        <w:rPr>
          <w:rFonts w:ascii="Book Antiqua" w:hAnsi="Book Antiqua"/>
          <w:color w:val="auto"/>
          <w:sz w:val="28"/>
          <w:szCs w:val="28"/>
        </w:rPr>
      </w:pPr>
      <w:r w:rsidRPr="00F52A88">
        <w:rPr>
          <w:rFonts w:ascii="Book Antiqua" w:hAnsi="Book Antiqua"/>
          <w:color w:val="auto"/>
          <w:sz w:val="28"/>
          <w:szCs w:val="28"/>
        </w:rPr>
        <w:t>Affordability and value for money</w:t>
      </w:r>
    </w:p>
    <w:p w:rsidR="00813D61" w:rsidRDefault="00813D61" w:rsidP="00F25700">
      <w:pPr>
        <w:spacing w:line="360" w:lineRule="auto"/>
        <w:jc w:val="both"/>
        <w:rPr>
          <w:rFonts w:ascii="Book Antiqua" w:hAnsi="Book Antiqua"/>
          <w:sz w:val="24"/>
          <w:szCs w:val="24"/>
        </w:rPr>
      </w:pPr>
      <w:r w:rsidRPr="00F25700">
        <w:rPr>
          <w:rFonts w:ascii="Book Antiqua" w:hAnsi="Book Antiqua"/>
          <w:sz w:val="24"/>
          <w:szCs w:val="24"/>
        </w:rPr>
        <w:t>It is essential that affordability of PPPs is looked at critically especially in the long run. It can be seen from Figure 2 that serve for 2006 Zambia has been operating under a deficit (the level of expenditure exceeds the income)</w:t>
      </w:r>
      <w:r w:rsidR="00F25700" w:rsidRPr="00F25700">
        <w:rPr>
          <w:rFonts w:ascii="Book Antiqua" w:hAnsi="Book Antiqua"/>
          <w:sz w:val="24"/>
          <w:szCs w:val="24"/>
        </w:rPr>
        <w:t>. According to the forecast, this</w:t>
      </w:r>
      <w:r w:rsidRPr="00F25700">
        <w:rPr>
          <w:rFonts w:ascii="Book Antiqua" w:hAnsi="Book Antiqua"/>
          <w:sz w:val="24"/>
          <w:szCs w:val="24"/>
        </w:rPr>
        <w:t xml:space="preserve"> is likely to continue for the foreseeable future. PPP will have an impact </w:t>
      </w:r>
      <w:r w:rsidRPr="00F25700">
        <w:rPr>
          <w:rFonts w:ascii="Book Antiqua" w:hAnsi="Book Antiqua"/>
          <w:sz w:val="24"/>
          <w:szCs w:val="24"/>
        </w:rPr>
        <w:lastRenderedPageBreak/>
        <w:t xml:space="preserve">on the deficit because unitary payments have to be made by the government. Effectively PPP is a way of </w:t>
      </w:r>
      <w:r w:rsidR="00720A37">
        <w:rPr>
          <w:rFonts w:ascii="Book Antiqua" w:hAnsi="Book Antiqua"/>
          <w:sz w:val="24"/>
          <w:szCs w:val="24"/>
        </w:rPr>
        <w:t xml:space="preserve">government borrowing from the private </w:t>
      </w:r>
      <w:r w:rsidR="00720A37" w:rsidRPr="00F25700">
        <w:rPr>
          <w:rFonts w:ascii="Book Antiqua" w:hAnsi="Book Antiqua"/>
          <w:sz w:val="24"/>
          <w:szCs w:val="24"/>
        </w:rPr>
        <w:t>sector</w:t>
      </w:r>
      <w:r w:rsidR="009B4B5D">
        <w:rPr>
          <w:rFonts w:ascii="Book Antiqua" w:hAnsi="Book Antiqua"/>
          <w:sz w:val="24"/>
          <w:szCs w:val="24"/>
        </w:rPr>
        <w:t xml:space="preserve"> albeit more expensively (</w:t>
      </w:r>
      <w:r w:rsidR="009B4B5D">
        <w:rPr>
          <w:rFonts w:ascii="Times New Roman" w:hAnsi="Times New Roman" w:cs="Times New Roman"/>
          <w:sz w:val="26"/>
          <w:szCs w:val="26"/>
          <w:lang w:bidi="ar-SA"/>
        </w:rPr>
        <w:t>Pollitt, 2000)</w:t>
      </w:r>
      <w:r w:rsidR="009B4B5D">
        <w:rPr>
          <w:rFonts w:ascii="Book Antiqua" w:hAnsi="Book Antiqua"/>
          <w:sz w:val="24"/>
          <w:szCs w:val="24"/>
        </w:rPr>
        <w:t>, as the government can usually borrow at a lower cost than the private sector.</w:t>
      </w:r>
      <w:r w:rsidR="009B4B5D" w:rsidRPr="00F25700">
        <w:rPr>
          <w:rFonts w:ascii="Book Antiqua" w:hAnsi="Book Antiqua"/>
          <w:sz w:val="24"/>
          <w:szCs w:val="24"/>
        </w:rPr>
        <w:t xml:space="preserve"> Because</w:t>
      </w:r>
      <w:r w:rsidRPr="00F25700">
        <w:rPr>
          <w:rFonts w:ascii="Book Antiqua" w:hAnsi="Book Antiqua"/>
          <w:sz w:val="24"/>
          <w:szCs w:val="24"/>
        </w:rPr>
        <w:t xml:space="preserve"> PPP is generally treated off balance sheet, this does not show as debt but it will still need to be paid for. </w:t>
      </w:r>
      <w:r w:rsidR="009B4B5D">
        <w:rPr>
          <w:rFonts w:ascii="Book Antiqua" w:hAnsi="Book Antiqua"/>
          <w:sz w:val="24"/>
          <w:szCs w:val="24"/>
        </w:rPr>
        <w:t>To all intents and purposes</w:t>
      </w:r>
      <w:r w:rsidR="009B4B5D" w:rsidRPr="00F25700" w:rsidDel="009B4B5D">
        <w:rPr>
          <w:rFonts w:ascii="Book Antiqua" w:hAnsi="Book Antiqua"/>
          <w:sz w:val="24"/>
          <w:szCs w:val="24"/>
        </w:rPr>
        <w:t xml:space="preserve"> </w:t>
      </w:r>
      <w:r w:rsidRPr="00F25700">
        <w:rPr>
          <w:rFonts w:ascii="Book Antiqua" w:hAnsi="Book Antiqua"/>
          <w:sz w:val="24"/>
          <w:szCs w:val="24"/>
        </w:rPr>
        <w:t>the level</w:t>
      </w:r>
      <w:r w:rsidR="00F632CE">
        <w:rPr>
          <w:rFonts w:ascii="Book Antiqua" w:hAnsi="Book Antiqua"/>
          <w:sz w:val="24"/>
          <w:szCs w:val="24"/>
        </w:rPr>
        <w:t>s of debt forecasted in Figure 3</w:t>
      </w:r>
      <w:r w:rsidRPr="00F25700">
        <w:rPr>
          <w:rFonts w:ascii="Book Antiqua" w:hAnsi="Book Antiqua"/>
          <w:sz w:val="24"/>
          <w:szCs w:val="24"/>
        </w:rPr>
        <w:t xml:space="preserve"> will be even higher if PPP is taken into consideration. It is therefore cardinal that the issues</w:t>
      </w:r>
      <w:r w:rsidR="0013518D">
        <w:rPr>
          <w:rFonts w:ascii="Book Antiqua" w:hAnsi="Book Antiqua"/>
          <w:sz w:val="24"/>
          <w:szCs w:val="24"/>
        </w:rPr>
        <w:t xml:space="preserve"> of affordability and value </w:t>
      </w:r>
      <w:r w:rsidRPr="00F25700">
        <w:rPr>
          <w:rFonts w:ascii="Book Antiqua" w:hAnsi="Book Antiqua"/>
          <w:sz w:val="24"/>
          <w:szCs w:val="24"/>
        </w:rPr>
        <w:t>are properly assessed professionally and not politically.</w:t>
      </w:r>
    </w:p>
    <w:p w:rsidR="00720A37" w:rsidRPr="00F25700" w:rsidRDefault="00720A37" w:rsidP="00F25700">
      <w:pPr>
        <w:spacing w:line="360" w:lineRule="auto"/>
        <w:jc w:val="both"/>
        <w:rPr>
          <w:rFonts w:ascii="Book Antiqua" w:hAnsi="Book Antiqua"/>
          <w:sz w:val="24"/>
          <w:szCs w:val="24"/>
        </w:rPr>
      </w:pPr>
    </w:p>
    <w:p w:rsidR="00720A37" w:rsidRDefault="00720A37" w:rsidP="00720A37">
      <w:pPr>
        <w:jc w:val="both"/>
        <w:rPr>
          <w:color w:val="000000"/>
          <w:sz w:val="17"/>
          <w:szCs w:val="17"/>
        </w:rPr>
      </w:pPr>
      <w:r w:rsidRPr="00DA3D5C">
        <w:rPr>
          <w:noProof/>
          <w:color w:val="000000"/>
          <w:sz w:val="17"/>
          <w:szCs w:val="17"/>
          <w:lang w:val="en-GB" w:eastAsia="en-GB" w:bidi="ar-SA"/>
        </w:rPr>
        <w:drawing>
          <wp:inline distT="0" distB="0" distL="0" distR="0">
            <wp:extent cx="4699254" cy="2852928"/>
            <wp:effectExtent l="19050" t="0" r="44196" b="4572"/>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20A37" w:rsidRPr="00F25700" w:rsidRDefault="00720A37" w:rsidP="00720A37">
      <w:pPr>
        <w:pStyle w:val="Caption"/>
        <w:jc w:val="both"/>
        <w:rPr>
          <w:rFonts w:ascii="Book Antiqua" w:hAnsi="Book Antiqua"/>
          <w:b w:val="0"/>
          <w:color w:val="auto"/>
          <w:sz w:val="20"/>
          <w:szCs w:val="20"/>
        </w:rPr>
      </w:pPr>
      <w:r w:rsidRPr="00F25700">
        <w:rPr>
          <w:rFonts w:ascii="Book Antiqua" w:hAnsi="Book Antiqua"/>
          <w:color w:val="auto"/>
          <w:sz w:val="20"/>
          <w:szCs w:val="20"/>
        </w:rPr>
        <w:t xml:space="preserve">Figure </w:t>
      </w:r>
      <w:r w:rsidR="00136A4B" w:rsidRPr="00F25700">
        <w:rPr>
          <w:rFonts w:ascii="Book Antiqua" w:hAnsi="Book Antiqua"/>
          <w:color w:val="auto"/>
          <w:sz w:val="20"/>
          <w:szCs w:val="20"/>
        </w:rPr>
        <w:fldChar w:fldCharType="begin"/>
      </w:r>
      <w:r w:rsidRPr="00F25700">
        <w:rPr>
          <w:rFonts w:ascii="Book Antiqua" w:hAnsi="Book Antiqua"/>
          <w:color w:val="auto"/>
          <w:sz w:val="20"/>
          <w:szCs w:val="20"/>
        </w:rPr>
        <w:instrText xml:space="preserve"> SEQ Figure \* ARABIC </w:instrText>
      </w:r>
      <w:r w:rsidR="00136A4B" w:rsidRPr="00F25700">
        <w:rPr>
          <w:rFonts w:ascii="Book Antiqua" w:hAnsi="Book Antiqua"/>
          <w:color w:val="auto"/>
          <w:sz w:val="20"/>
          <w:szCs w:val="20"/>
        </w:rPr>
        <w:fldChar w:fldCharType="separate"/>
      </w:r>
      <w:r>
        <w:rPr>
          <w:rFonts w:ascii="Book Antiqua" w:hAnsi="Book Antiqua"/>
          <w:noProof/>
          <w:color w:val="auto"/>
          <w:sz w:val="20"/>
          <w:szCs w:val="20"/>
        </w:rPr>
        <w:t>3</w:t>
      </w:r>
      <w:r w:rsidR="00136A4B" w:rsidRPr="00F25700">
        <w:rPr>
          <w:rFonts w:ascii="Book Antiqua" w:hAnsi="Book Antiqua"/>
          <w:color w:val="auto"/>
          <w:sz w:val="20"/>
          <w:szCs w:val="20"/>
        </w:rPr>
        <w:fldChar w:fldCharType="end"/>
      </w:r>
      <w:r w:rsidRPr="00F25700">
        <w:rPr>
          <w:rFonts w:ascii="Book Antiqua" w:hAnsi="Book Antiqua"/>
          <w:color w:val="auto"/>
          <w:sz w:val="20"/>
          <w:szCs w:val="20"/>
        </w:rPr>
        <w:t>:</w:t>
      </w:r>
      <w:r w:rsidRPr="00F25700">
        <w:rPr>
          <w:rFonts w:ascii="Book Antiqua" w:hAnsi="Book Antiqua"/>
          <w:b w:val="0"/>
          <w:color w:val="auto"/>
          <w:sz w:val="20"/>
          <w:szCs w:val="20"/>
        </w:rPr>
        <w:t xml:space="preserve"> Comparison of Government Revenue, Expenditure and Total Gross Debt (Source: Economy Watch, 2011)</w:t>
      </w:r>
    </w:p>
    <w:p w:rsidR="00813D61" w:rsidRPr="00F25700" w:rsidRDefault="00FA49C0" w:rsidP="00F25700">
      <w:pPr>
        <w:spacing w:line="360" w:lineRule="auto"/>
        <w:jc w:val="both"/>
        <w:rPr>
          <w:rFonts w:ascii="Book Antiqua" w:hAnsi="Book Antiqua"/>
          <w:sz w:val="24"/>
          <w:szCs w:val="24"/>
        </w:rPr>
      </w:pPr>
      <w:r>
        <w:rPr>
          <w:rFonts w:ascii="Book Antiqua" w:hAnsi="Book Antiqua"/>
          <w:sz w:val="24"/>
          <w:szCs w:val="24"/>
        </w:rPr>
        <w:t xml:space="preserve">In examining the value for money it is important that issues around the possible gains in future refinancing of PPP projects are taken into consideration before signing of the contracts. </w:t>
      </w:r>
      <w:r w:rsidR="00C275CF">
        <w:rPr>
          <w:rFonts w:ascii="Book Antiqua" w:hAnsi="Book Antiqua"/>
          <w:sz w:val="24"/>
          <w:szCs w:val="24"/>
        </w:rPr>
        <w:t xml:space="preserve">According to the House of Commons (2003) refinancing occurs after the development period when initial risks have been successfully overcome, hence funders’ willingness to provide better terms which in turn reduces the financing costs. </w:t>
      </w:r>
      <w:r>
        <w:rPr>
          <w:rFonts w:ascii="Book Antiqua" w:hAnsi="Book Antiqua"/>
          <w:sz w:val="24"/>
          <w:szCs w:val="24"/>
        </w:rPr>
        <w:t>Under the UK</w:t>
      </w:r>
      <w:r w:rsidR="004D7A94">
        <w:rPr>
          <w:rFonts w:ascii="Book Antiqua" w:hAnsi="Book Antiqua"/>
          <w:sz w:val="24"/>
          <w:szCs w:val="24"/>
        </w:rPr>
        <w:t>’s</w:t>
      </w:r>
      <w:r>
        <w:rPr>
          <w:rFonts w:ascii="Book Antiqua" w:hAnsi="Book Antiqua"/>
          <w:sz w:val="24"/>
          <w:szCs w:val="24"/>
        </w:rPr>
        <w:t xml:space="preserve"> </w:t>
      </w:r>
      <w:r w:rsidR="004D7A94">
        <w:rPr>
          <w:rFonts w:ascii="Book Antiqua" w:hAnsi="Book Antiqua"/>
          <w:sz w:val="24"/>
          <w:szCs w:val="24"/>
        </w:rPr>
        <w:t>Private Finance initiative (</w:t>
      </w:r>
      <w:r>
        <w:rPr>
          <w:rFonts w:ascii="Book Antiqua" w:hAnsi="Book Antiqua"/>
          <w:sz w:val="24"/>
          <w:szCs w:val="24"/>
        </w:rPr>
        <w:t>PFI</w:t>
      </w:r>
      <w:r w:rsidR="004D7A94">
        <w:rPr>
          <w:rFonts w:ascii="Book Antiqua" w:hAnsi="Book Antiqua"/>
          <w:sz w:val="24"/>
          <w:szCs w:val="24"/>
        </w:rPr>
        <w:t>)</w:t>
      </w:r>
      <w:r>
        <w:rPr>
          <w:rFonts w:ascii="Book Antiqua" w:hAnsi="Book Antiqua"/>
          <w:sz w:val="24"/>
          <w:szCs w:val="24"/>
        </w:rPr>
        <w:t xml:space="preserve">, the returns increased dramatically after the refinancing with all the gains originally going to the private sector (NAO, 2000). There is now guidance with regards to sharing the refinancing gains between the private and public sector so that the public sector also </w:t>
      </w:r>
      <w:r>
        <w:rPr>
          <w:rFonts w:ascii="Book Antiqua" w:hAnsi="Book Antiqua"/>
          <w:sz w:val="24"/>
          <w:szCs w:val="24"/>
        </w:rPr>
        <w:lastRenderedPageBreak/>
        <w:t>benefits.</w:t>
      </w:r>
      <w:r w:rsidR="005063C8">
        <w:rPr>
          <w:rFonts w:ascii="Book Antiqua" w:hAnsi="Book Antiqua"/>
          <w:sz w:val="24"/>
          <w:szCs w:val="24"/>
        </w:rPr>
        <w:t xml:space="preserve"> </w:t>
      </w:r>
      <w:r w:rsidR="00813D61" w:rsidRPr="00F25700">
        <w:rPr>
          <w:rFonts w:ascii="Book Antiqua" w:hAnsi="Book Antiqua"/>
          <w:sz w:val="24"/>
          <w:szCs w:val="24"/>
        </w:rPr>
        <w:t xml:space="preserve">It is in this regard that the surveyors should engage with the government in the whole PPP process. The focus should not only be about the development period but also about issues regarding the transfer/handover of the project to the government after the </w:t>
      </w:r>
      <w:r w:rsidR="00813D61" w:rsidRPr="005063C8">
        <w:rPr>
          <w:rFonts w:ascii="Book Antiqua" w:hAnsi="Book Antiqua"/>
          <w:sz w:val="24"/>
          <w:szCs w:val="24"/>
        </w:rPr>
        <w:t>effluxion</w:t>
      </w:r>
      <w:r w:rsidR="00813D61" w:rsidRPr="00F25700">
        <w:rPr>
          <w:rFonts w:ascii="Book Antiqua" w:hAnsi="Book Antiqua"/>
          <w:sz w:val="24"/>
          <w:szCs w:val="24"/>
        </w:rPr>
        <w:t xml:space="preserve"> of the PPP contract.</w:t>
      </w:r>
    </w:p>
    <w:p w:rsidR="005B312E" w:rsidRPr="00F52A88" w:rsidRDefault="005B312E" w:rsidP="005B312E">
      <w:pPr>
        <w:pStyle w:val="Heading2"/>
        <w:jc w:val="both"/>
        <w:rPr>
          <w:rFonts w:ascii="Book Antiqua" w:hAnsi="Book Antiqua"/>
          <w:color w:val="auto"/>
          <w:sz w:val="28"/>
          <w:szCs w:val="28"/>
        </w:rPr>
      </w:pPr>
      <w:r w:rsidRPr="00F52A88">
        <w:rPr>
          <w:rFonts w:ascii="Book Antiqua" w:hAnsi="Book Antiqua"/>
          <w:color w:val="auto"/>
          <w:sz w:val="28"/>
          <w:szCs w:val="28"/>
        </w:rPr>
        <w:t>Surveyors are Irrelevant to Political Leaders</w:t>
      </w:r>
    </w:p>
    <w:p w:rsidR="00F52A88" w:rsidRDefault="00F52A88" w:rsidP="008B01D2">
      <w:pPr>
        <w:spacing w:line="360" w:lineRule="auto"/>
        <w:jc w:val="both"/>
        <w:rPr>
          <w:rFonts w:ascii="Book Antiqua" w:hAnsi="Book Antiqua" w:cs="Book Antiqua"/>
          <w:color w:val="000000"/>
          <w:sz w:val="24"/>
          <w:szCs w:val="24"/>
        </w:rPr>
      </w:pPr>
      <w:r w:rsidRPr="008B01D2">
        <w:rPr>
          <w:rFonts w:ascii="Book Antiqua" w:hAnsi="Book Antiqua" w:cs="Book Antiqua"/>
          <w:color w:val="000000"/>
          <w:sz w:val="24"/>
          <w:szCs w:val="24"/>
        </w:rPr>
        <w:t xml:space="preserve">The main risks associated with </w:t>
      </w:r>
      <w:r w:rsidR="006E362B">
        <w:rPr>
          <w:rFonts w:ascii="Book Antiqua" w:hAnsi="Book Antiqua" w:cs="Book Antiqua"/>
          <w:color w:val="000000"/>
          <w:sz w:val="24"/>
          <w:szCs w:val="24"/>
        </w:rPr>
        <w:t>PPP</w:t>
      </w:r>
      <w:r w:rsidR="006E362B" w:rsidRPr="008B01D2">
        <w:rPr>
          <w:rFonts w:ascii="Book Antiqua" w:hAnsi="Book Antiqua" w:cs="Book Antiqua"/>
          <w:color w:val="000000"/>
          <w:sz w:val="24"/>
          <w:szCs w:val="24"/>
        </w:rPr>
        <w:t xml:space="preserve"> </w:t>
      </w:r>
      <w:r w:rsidRPr="008B01D2">
        <w:rPr>
          <w:rFonts w:ascii="Book Antiqua" w:hAnsi="Book Antiqua" w:cs="Book Antiqua"/>
          <w:color w:val="000000"/>
          <w:sz w:val="24"/>
          <w:szCs w:val="24"/>
        </w:rPr>
        <w:t>are) (</w:t>
      </w:r>
      <w:proofErr w:type="spellStart"/>
      <w:r w:rsidRPr="008B01D2">
        <w:rPr>
          <w:rFonts w:ascii="Book Antiqua" w:hAnsi="Book Antiqua" w:cs="Book Antiqua"/>
          <w:color w:val="000000"/>
          <w:sz w:val="24"/>
          <w:szCs w:val="24"/>
        </w:rPr>
        <w:t>i</w:t>
      </w:r>
      <w:proofErr w:type="spellEnd"/>
      <w:r w:rsidRPr="008B01D2">
        <w:rPr>
          <w:rFonts w:ascii="Book Antiqua" w:hAnsi="Book Antiqua" w:cs="Book Antiqua"/>
          <w:color w:val="000000"/>
          <w:sz w:val="24"/>
          <w:szCs w:val="24"/>
        </w:rPr>
        <w:t>) Uncertainty of demand over a long period; (ii) Uncertainty of price levels that can be maintained over a long period</w:t>
      </w:r>
      <w:r w:rsidR="000A3F81">
        <w:rPr>
          <w:rFonts w:ascii="Book Antiqua" w:hAnsi="Book Antiqua" w:cs="Book Antiqua"/>
          <w:color w:val="000000"/>
          <w:sz w:val="24"/>
          <w:szCs w:val="24"/>
        </w:rPr>
        <w:t xml:space="preserve"> </w:t>
      </w:r>
      <w:r w:rsidR="000A3F81" w:rsidRPr="008B01D2">
        <w:rPr>
          <w:rFonts w:ascii="Book Antiqua" w:hAnsi="Book Antiqua" w:cs="Book Antiqua"/>
          <w:color w:val="000000"/>
          <w:sz w:val="24"/>
          <w:szCs w:val="24"/>
        </w:rPr>
        <w:t>(HM Treasury, 2002; OGC, 2005</w:t>
      </w:r>
      <w:r w:rsidR="000A3F81">
        <w:rPr>
          <w:rFonts w:ascii="Book Antiqua" w:hAnsi="Book Antiqua" w:cs="Book Antiqua"/>
          <w:color w:val="000000"/>
          <w:sz w:val="24"/>
          <w:szCs w:val="24"/>
        </w:rPr>
        <w:t>)</w:t>
      </w:r>
      <w:r w:rsidRPr="008B01D2">
        <w:rPr>
          <w:rFonts w:ascii="Book Antiqua" w:hAnsi="Book Antiqua" w:cs="Book Antiqua"/>
          <w:color w:val="000000"/>
          <w:sz w:val="24"/>
          <w:szCs w:val="24"/>
        </w:rPr>
        <w:t>; (iii) Escalation of construction costs (Flanagan</w:t>
      </w:r>
      <w:r w:rsidR="000A3F81">
        <w:rPr>
          <w:rFonts w:ascii="Book Antiqua" w:hAnsi="Book Antiqua" w:cs="Book Antiqua"/>
          <w:color w:val="000000"/>
          <w:sz w:val="24"/>
          <w:szCs w:val="24"/>
        </w:rPr>
        <w:t xml:space="preserve"> et al</w:t>
      </w:r>
      <w:r w:rsidRPr="008B01D2">
        <w:rPr>
          <w:rFonts w:ascii="Book Antiqua" w:hAnsi="Book Antiqua" w:cs="Book Antiqua"/>
          <w:color w:val="000000"/>
          <w:sz w:val="24"/>
          <w:szCs w:val="24"/>
        </w:rPr>
        <w:t>, 2005); (iv) Changes in tax and other levi</w:t>
      </w:r>
      <w:r w:rsidR="000A3F81">
        <w:rPr>
          <w:rFonts w:ascii="Book Antiqua" w:hAnsi="Book Antiqua" w:cs="Book Antiqua"/>
          <w:color w:val="000000"/>
          <w:sz w:val="24"/>
          <w:szCs w:val="24"/>
        </w:rPr>
        <w:t>es (Flanagan et al,</w:t>
      </w:r>
      <w:r w:rsidRPr="008B01D2">
        <w:rPr>
          <w:rFonts w:ascii="Book Antiqua" w:hAnsi="Book Antiqua" w:cs="Book Antiqua"/>
          <w:color w:val="000000"/>
          <w:sz w:val="24"/>
          <w:szCs w:val="24"/>
        </w:rPr>
        <w:t xml:space="preserve"> 2005);  (v) Future competition or alternatives; (vi) Uncertainty of maintenance costs (which are likely to increase with time); (vii) Changes in attitude (e.g. changed reliance or availability of fuels used in the design of the operating plant or transport system) (OGC, 2005); (</w:t>
      </w:r>
      <w:r w:rsidR="000C6D21" w:rsidRPr="008B01D2">
        <w:rPr>
          <w:rFonts w:ascii="Book Antiqua" w:hAnsi="Book Antiqua" w:cs="Book Antiqua"/>
          <w:color w:val="000000"/>
          <w:sz w:val="24"/>
          <w:szCs w:val="24"/>
        </w:rPr>
        <w:t>vi</w:t>
      </w:r>
      <w:r w:rsidR="000C6D21">
        <w:rPr>
          <w:rFonts w:ascii="Book Antiqua" w:hAnsi="Book Antiqua" w:cs="Book Antiqua"/>
          <w:color w:val="000000"/>
          <w:sz w:val="24"/>
          <w:szCs w:val="24"/>
        </w:rPr>
        <w:t>ii</w:t>
      </w:r>
      <w:r w:rsidRPr="008B01D2">
        <w:rPr>
          <w:rFonts w:ascii="Book Antiqua" w:hAnsi="Book Antiqua" w:cs="Book Antiqua"/>
          <w:color w:val="000000"/>
          <w:sz w:val="24"/>
          <w:szCs w:val="24"/>
        </w:rPr>
        <w:t xml:space="preserve">) Government intervention and risk of </w:t>
      </w:r>
      <w:r w:rsidR="004D7A94" w:rsidRPr="008B01D2">
        <w:rPr>
          <w:rFonts w:ascii="Book Antiqua" w:hAnsi="Book Antiqua" w:cs="Book Antiqua"/>
          <w:color w:val="000000"/>
          <w:sz w:val="24"/>
          <w:szCs w:val="24"/>
        </w:rPr>
        <w:t>nationalization</w:t>
      </w:r>
      <w:r w:rsidR="000C6D21">
        <w:rPr>
          <w:rFonts w:ascii="Book Antiqua" w:hAnsi="Book Antiqua" w:cs="Book Antiqua"/>
          <w:color w:val="000000"/>
          <w:sz w:val="24"/>
          <w:szCs w:val="24"/>
        </w:rPr>
        <w:t>;</w:t>
      </w:r>
      <w:r w:rsidR="000C6D21" w:rsidRPr="000C6D21">
        <w:t xml:space="preserve"> </w:t>
      </w:r>
      <w:r w:rsidR="000C6D21">
        <w:t>(ix)</w:t>
      </w:r>
      <w:r w:rsidR="004D7A94">
        <w:t xml:space="preserve"> </w:t>
      </w:r>
      <w:r w:rsidR="000C6D21" w:rsidRPr="000C6D21">
        <w:rPr>
          <w:rFonts w:ascii="Book Antiqua" w:hAnsi="Book Antiqua" w:cs="Book Antiqua"/>
          <w:color w:val="000000"/>
          <w:sz w:val="24"/>
          <w:szCs w:val="24"/>
        </w:rPr>
        <w:t>residual value at the end  of PPP contract</w:t>
      </w:r>
      <w:r w:rsidR="000C6D21">
        <w:rPr>
          <w:rFonts w:ascii="Book Antiqua" w:hAnsi="Book Antiqua" w:cs="Book Antiqua"/>
          <w:color w:val="000000"/>
          <w:sz w:val="24"/>
          <w:szCs w:val="24"/>
        </w:rPr>
        <w:t xml:space="preserve">- </w:t>
      </w:r>
      <w:r w:rsidR="004D7A94">
        <w:rPr>
          <w:rFonts w:ascii="Book Antiqua" w:hAnsi="Book Antiqua" w:cs="Book Antiqua"/>
          <w:color w:val="000000"/>
          <w:sz w:val="24"/>
          <w:szCs w:val="24"/>
        </w:rPr>
        <w:t>as</w:t>
      </w:r>
      <w:r w:rsidR="000C6D21">
        <w:rPr>
          <w:rFonts w:ascii="Book Antiqua" w:hAnsi="Book Antiqua" w:cs="Book Antiqua"/>
          <w:color w:val="000000"/>
          <w:sz w:val="24"/>
          <w:szCs w:val="24"/>
        </w:rPr>
        <w:t xml:space="preserve"> asset transfer </w:t>
      </w:r>
      <w:r w:rsidR="006E362B">
        <w:rPr>
          <w:rFonts w:ascii="Book Antiqua" w:hAnsi="Book Antiqua" w:cs="Book Antiqua"/>
          <w:color w:val="000000"/>
          <w:sz w:val="24"/>
          <w:szCs w:val="24"/>
        </w:rPr>
        <w:t>will be required</w:t>
      </w:r>
      <w:r w:rsidR="000A3F81">
        <w:rPr>
          <w:rFonts w:ascii="Book Antiqua" w:hAnsi="Book Antiqua" w:cs="Book Antiqua"/>
          <w:color w:val="000000"/>
          <w:sz w:val="24"/>
          <w:szCs w:val="24"/>
        </w:rPr>
        <w:t>.</w:t>
      </w:r>
    </w:p>
    <w:p w:rsidR="00F52A88" w:rsidRDefault="000A3F81" w:rsidP="000A3F81">
      <w:pPr>
        <w:spacing w:line="360" w:lineRule="auto"/>
        <w:jc w:val="both"/>
        <w:rPr>
          <w:rFonts w:ascii="Book Antiqua" w:hAnsi="Book Antiqua"/>
          <w:sz w:val="24"/>
          <w:szCs w:val="24"/>
        </w:rPr>
      </w:pPr>
      <w:r>
        <w:rPr>
          <w:rFonts w:ascii="Book Antiqua" w:hAnsi="Book Antiqua" w:cs="Book Antiqua"/>
          <w:color w:val="000000"/>
          <w:sz w:val="24"/>
          <w:szCs w:val="24"/>
        </w:rPr>
        <w:t>Table 3 summarises the types of risks that the public would undertake. Operation and maintenance of risks for a facility after it has been handed over to the government needs to be reviewed, with a full cost implication identified before the project can be awarded.</w:t>
      </w:r>
    </w:p>
    <w:tbl>
      <w:tblPr>
        <w:tblStyle w:val="TableGrid"/>
        <w:tblW w:w="0" w:type="auto"/>
        <w:tblLayout w:type="fixed"/>
        <w:tblLook w:val="01E0"/>
      </w:tblPr>
      <w:tblGrid>
        <w:gridCol w:w="1384"/>
        <w:gridCol w:w="1536"/>
        <w:gridCol w:w="1349"/>
        <w:gridCol w:w="1358"/>
        <w:gridCol w:w="1350"/>
        <w:gridCol w:w="1590"/>
      </w:tblGrid>
      <w:tr w:rsidR="00813D61" w:rsidRPr="00C7505C" w:rsidTr="00140810">
        <w:trPr>
          <w:trHeight w:val="1055"/>
        </w:trPr>
        <w:tc>
          <w:tcPr>
            <w:tcW w:w="138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13D61" w:rsidRPr="00F52A88" w:rsidRDefault="00813D61" w:rsidP="001F6024">
            <w:pPr>
              <w:pStyle w:val="BodyText"/>
              <w:spacing w:before="100" w:beforeAutospacing="1" w:after="100" w:afterAutospacing="1"/>
              <w:jc w:val="both"/>
              <w:rPr>
                <w:rFonts w:ascii="Book Antiqua" w:hAnsi="Book Antiqua"/>
                <w:b/>
                <w:sz w:val="20"/>
                <w:szCs w:val="20"/>
              </w:rPr>
            </w:pPr>
            <w:r w:rsidRPr="00F52A88">
              <w:rPr>
                <w:rFonts w:ascii="Book Antiqua" w:hAnsi="Book Antiqua"/>
                <w:b/>
                <w:sz w:val="20"/>
                <w:szCs w:val="20"/>
              </w:rPr>
              <w:t>Type of arrangement</w:t>
            </w:r>
          </w:p>
        </w:tc>
        <w:tc>
          <w:tcPr>
            <w:tcW w:w="7183"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13D61" w:rsidRPr="00C7505C" w:rsidRDefault="00813D61" w:rsidP="001F6024">
            <w:pPr>
              <w:pStyle w:val="BodyText"/>
              <w:spacing w:before="100" w:beforeAutospacing="1" w:after="100" w:afterAutospacing="1"/>
              <w:jc w:val="both"/>
            </w:pPr>
          </w:p>
          <w:p w:rsidR="00813D61" w:rsidRPr="00140810" w:rsidRDefault="00813D61" w:rsidP="00140810">
            <w:pPr>
              <w:pStyle w:val="BodyText"/>
              <w:spacing w:before="100" w:beforeAutospacing="1" w:after="100" w:afterAutospacing="1"/>
              <w:contextualSpacing/>
              <w:jc w:val="both"/>
              <w:rPr>
                <w:b/>
              </w:rPr>
            </w:pPr>
            <w:r w:rsidRPr="00140810">
              <w:rPr>
                <w:b/>
              </w:rPr>
              <w:t xml:space="preserve">Public Partner  </w:t>
            </w:r>
            <w:r w:rsidRPr="00140810">
              <w:rPr>
                <w:b/>
              </w:rPr>
              <w:sym w:font="Wingdings" w:char="00E8"/>
            </w:r>
            <w:r w:rsidRPr="00140810">
              <w:rPr>
                <w:b/>
              </w:rPr>
              <w:t xml:space="preserve">  </w:t>
            </w:r>
            <w:r w:rsidRPr="00140810">
              <w:rPr>
                <w:b/>
              </w:rPr>
              <w:sym w:font="Wingdings" w:char="00E8"/>
            </w:r>
            <w:r w:rsidRPr="00140810">
              <w:rPr>
                <w:b/>
              </w:rPr>
              <w:t xml:space="preserve"> </w:t>
            </w:r>
            <w:r w:rsidRPr="00140810">
              <w:rPr>
                <w:b/>
              </w:rPr>
              <w:sym w:font="Wingdings" w:char="00E8"/>
            </w:r>
            <w:r w:rsidRPr="00140810">
              <w:rPr>
                <w:b/>
              </w:rPr>
              <w:t xml:space="preserve">   Risk Transfer  </w:t>
            </w:r>
            <w:r w:rsidRPr="00140810">
              <w:rPr>
                <w:b/>
              </w:rPr>
              <w:sym w:font="Wingdings" w:char="00E8"/>
            </w:r>
            <w:r w:rsidRPr="00140810">
              <w:rPr>
                <w:b/>
              </w:rPr>
              <w:t xml:space="preserve">  </w:t>
            </w:r>
            <w:r w:rsidRPr="00140810">
              <w:rPr>
                <w:b/>
              </w:rPr>
              <w:sym w:font="Wingdings" w:char="00E8"/>
            </w:r>
            <w:r w:rsidRPr="00140810">
              <w:rPr>
                <w:b/>
              </w:rPr>
              <w:sym w:font="Wingdings" w:char="00E8"/>
            </w:r>
            <w:r w:rsidRPr="00140810">
              <w:rPr>
                <w:b/>
              </w:rPr>
              <w:t xml:space="preserve">    Private Partner</w:t>
            </w:r>
          </w:p>
          <w:p w:rsidR="00813D61" w:rsidRPr="00C7505C" w:rsidRDefault="00813D61" w:rsidP="001F6024">
            <w:pPr>
              <w:pStyle w:val="BodyText"/>
              <w:spacing w:before="100" w:beforeAutospacing="1" w:after="100" w:afterAutospacing="1"/>
              <w:jc w:val="both"/>
            </w:pPr>
          </w:p>
        </w:tc>
      </w:tr>
      <w:tr w:rsidR="00813D61" w:rsidTr="00140810">
        <w:trPr>
          <w:trHeight w:val="1287"/>
        </w:trPr>
        <w:tc>
          <w:tcPr>
            <w:tcW w:w="138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13D61" w:rsidRPr="00C7505C" w:rsidRDefault="00813D61" w:rsidP="001F6024">
            <w:pPr>
              <w:jc w:val="both"/>
              <w:rPr>
                <w:rFonts w:ascii="Arial" w:hAnsi="Arial" w:cs="Arial"/>
                <w:bCs/>
                <w:kern w:val="32"/>
                <w:lang w:eastAsia="zh-CN" w:bidi="th-TH"/>
              </w:rPr>
            </w:pP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3D61" w:rsidRPr="00035E11" w:rsidRDefault="00813D61" w:rsidP="001F6024">
            <w:pPr>
              <w:pStyle w:val="BodyText"/>
              <w:spacing w:before="100" w:beforeAutospacing="1" w:after="100" w:afterAutospacing="1"/>
              <w:jc w:val="both"/>
              <w:rPr>
                <w:rFonts w:ascii="Times New Roman" w:hAnsi="Times New Roman" w:cs="Times New Roman"/>
                <w:sz w:val="20"/>
                <w:szCs w:val="20"/>
              </w:rPr>
            </w:pPr>
            <w:r w:rsidRPr="00035E11">
              <w:rPr>
                <w:rFonts w:ascii="Times New Roman" w:hAnsi="Times New Roman" w:cs="Times New Roman"/>
                <w:sz w:val="20"/>
                <w:szCs w:val="20"/>
              </w:rPr>
              <w:t>Operations and Maintenance (OM)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3D61" w:rsidRPr="00035E11" w:rsidRDefault="00813D61" w:rsidP="001F6024">
            <w:pPr>
              <w:pStyle w:val="BodyText"/>
              <w:spacing w:before="100" w:beforeAutospacing="1" w:after="100" w:afterAutospacing="1"/>
              <w:jc w:val="both"/>
              <w:rPr>
                <w:rFonts w:ascii="Times New Roman" w:hAnsi="Times New Roman" w:cs="Times New Roman"/>
                <w:sz w:val="20"/>
                <w:szCs w:val="20"/>
              </w:rPr>
            </w:pPr>
            <w:r w:rsidRPr="00035E11">
              <w:rPr>
                <w:rFonts w:ascii="Times New Roman" w:hAnsi="Times New Roman" w:cs="Times New Roman"/>
                <w:sz w:val="20"/>
                <w:szCs w:val="20"/>
              </w:rPr>
              <w:t>Design Build Operate (DBO)</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3D61" w:rsidRPr="00035E11" w:rsidRDefault="00813D61" w:rsidP="001F6024">
            <w:pPr>
              <w:pStyle w:val="BodyText"/>
              <w:spacing w:before="100" w:beforeAutospacing="1" w:after="100" w:afterAutospacing="1"/>
              <w:jc w:val="both"/>
              <w:rPr>
                <w:rFonts w:ascii="Times New Roman" w:hAnsi="Times New Roman" w:cs="Times New Roman"/>
                <w:sz w:val="20"/>
                <w:szCs w:val="20"/>
              </w:rPr>
            </w:pPr>
            <w:r w:rsidRPr="00035E11">
              <w:rPr>
                <w:rFonts w:ascii="Times New Roman" w:hAnsi="Times New Roman" w:cs="Times New Roman"/>
                <w:sz w:val="20"/>
                <w:szCs w:val="20"/>
              </w:rPr>
              <w:t>Build Operate Transfer (BOT)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3D61" w:rsidRPr="00035E11" w:rsidRDefault="00813D61" w:rsidP="001F6024">
            <w:pPr>
              <w:pStyle w:val="BodyText"/>
              <w:spacing w:before="100" w:beforeAutospacing="1" w:after="100" w:afterAutospacing="1"/>
              <w:jc w:val="both"/>
              <w:rPr>
                <w:rFonts w:ascii="Times New Roman" w:hAnsi="Times New Roman" w:cs="Times New Roman"/>
                <w:sz w:val="20"/>
                <w:szCs w:val="20"/>
              </w:rPr>
            </w:pPr>
            <w:r w:rsidRPr="00035E11">
              <w:rPr>
                <w:rFonts w:ascii="Times New Roman" w:hAnsi="Times New Roman" w:cs="Times New Roman"/>
                <w:sz w:val="20"/>
                <w:szCs w:val="20"/>
              </w:rPr>
              <w:t>Design Build Finance Operate (DBFO)</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3D61" w:rsidRPr="00035E11" w:rsidRDefault="00813D61" w:rsidP="00140810">
            <w:pPr>
              <w:pStyle w:val="BodyText"/>
              <w:spacing w:before="100" w:beforeAutospacing="1" w:after="100" w:afterAutospacing="1"/>
              <w:contextualSpacing/>
              <w:jc w:val="both"/>
              <w:rPr>
                <w:rFonts w:ascii="Times New Roman" w:hAnsi="Times New Roman" w:cs="Times New Roman"/>
                <w:sz w:val="20"/>
                <w:szCs w:val="20"/>
              </w:rPr>
            </w:pPr>
            <w:r w:rsidRPr="00035E11">
              <w:rPr>
                <w:rFonts w:ascii="Times New Roman" w:hAnsi="Times New Roman" w:cs="Times New Roman"/>
                <w:sz w:val="20"/>
                <w:szCs w:val="20"/>
              </w:rPr>
              <w:t xml:space="preserve">Build </w:t>
            </w:r>
          </w:p>
          <w:p w:rsidR="00813D61" w:rsidRPr="00035E11" w:rsidRDefault="00813D61" w:rsidP="00140810">
            <w:pPr>
              <w:pStyle w:val="BodyText"/>
              <w:spacing w:before="100" w:beforeAutospacing="1" w:after="100" w:afterAutospacing="1"/>
              <w:contextualSpacing/>
              <w:jc w:val="both"/>
              <w:rPr>
                <w:rFonts w:ascii="Times New Roman" w:hAnsi="Times New Roman" w:cs="Times New Roman"/>
                <w:sz w:val="20"/>
                <w:szCs w:val="20"/>
              </w:rPr>
            </w:pPr>
            <w:r w:rsidRPr="00035E11">
              <w:rPr>
                <w:rFonts w:ascii="Times New Roman" w:hAnsi="Times New Roman" w:cs="Times New Roman"/>
                <w:sz w:val="20"/>
                <w:szCs w:val="20"/>
              </w:rPr>
              <w:t xml:space="preserve">Own </w:t>
            </w:r>
          </w:p>
          <w:p w:rsidR="00813D61" w:rsidRPr="00035E11" w:rsidRDefault="00813D61" w:rsidP="00140810">
            <w:pPr>
              <w:pStyle w:val="BodyText"/>
              <w:spacing w:before="100" w:beforeAutospacing="1" w:after="100" w:afterAutospacing="1"/>
              <w:contextualSpacing/>
              <w:jc w:val="both"/>
              <w:rPr>
                <w:rFonts w:ascii="Times New Roman" w:hAnsi="Times New Roman" w:cs="Times New Roman"/>
                <w:sz w:val="20"/>
                <w:szCs w:val="20"/>
              </w:rPr>
            </w:pPr>
            <w:r w:rsidRPr="00035E11">
              <w:rPr>
                <w:rFonts w:ascii="Times New Roman" w:hAnsi="Times New Roman" w:cs="Times New Roman"/>
                <w:sz w:val="20"/>
                <w:szCs w:val="20"/>
              </w:rPr>
              <w:t>Operate Transfer</w:t>
            </w:r>
          </w:p>
          <w:p w:rsidR="00813D61" w:rsidRPr="00035E11" w:rsidRDefault="00813D61" w:rsidP="00140810">
            <w:pPr>
              <w:pStyle w:val="BodyText"/>
              <w:spacing w:before="100" w:beforeAutospacing="1" w:after="100" w:afterAutospacing="1"/>
              <w:contextualSpacing/>
              <w:jc w:val="both"/>
              <w:rPr>
                <w:rFonts w:ascii="Times New Roman" w:hAnsi="Times New Roman" w:cs="Times New Roman"/>
                <w:sz w:val="20"/>
                <w:szCs w:val="20"/>
              </w:rPr>
            </w:pPr>
            <w:r w:rsidRPr="00035E11">
              <w:rPr>
                <w:rFonts w:ascii="Times New Roman" w:hAnsi="Times New Roman" w:cs="Times New Roman"/>
                <w:sz w:val="20"/>
                <w:szCs w:val="20"/>
              </w:rPr>
              <w:t>(BOOT)</w:t>
            </w:r>
          </w:p>
        </w:tc>
      </w:tr>
    </w:tbl>
    <w:p w:rsidR="00813D61" w:rsidRPr="00C7505C" w:rsidRDefault="00C7505C" w:rsidP="00C7505C">
      <w:pPr>
        <w:pStyle w:val="Caption"/>
        <w:jc w:val="both"/>
        <w:rPr>
          <w:rFonts w:ascii="Book Antiqua" w:hAnsi="Book Antiqua"/>
          <w:color w:val="auto"/>
          <w:sz w:val="20"/>
          <w:szCs w:val="20"/>
        </w:rPr>
      </w:pPr>
      <w:r w:rsidRPr="00C7505C">
        <w:rPr>
          <w:rFonts w:ascii="Book Antiqua" w:hAnsi="Book Antiqua"/>
          <w:color w:val="auto"/>
          <w:sz w:val="20"/>
          <w:szCs w:val="20"/>
        </w:rPr>
        <w:t xml:space="preserve">Table </w:t>
      </w:r>
      <w:r w:rsidR="00136A4B" w:rsidRPr="00C7505C">
        <w:rPr>
          <w:rFonts w:ascii="Book Antiqua" w:hAnsi="Book Antiqua"/>
          <w:color w:val="auto"/>
          <w:sz w:val="20"/>
          <w:szCs w:val="20"/>
        </w:rPr>
        <w:fldChar w:fldCharType="begin"/>
      </w:r>
      <w:r w:rsidRPr="00C7505C">
        <w:rPr>
          <w:rFonts w:ascii="Book Antiqua" w:hAnsi="Book Antiqua"/>
          <w:color w:val="auto"/>
          <w:sz w:val="20"/>
          <w:szCs w:val="20"/>
        </w:rPr>
        <w:instrText xml:space="preserve"> SEQ Table \* ARABIC </w:instrText>
      </w:r>
      <w:r w:rsidR="00136A4B" w:rsidRPr="00C7505C">
        <w:rPr>
          <w:rFonts w:ascii="Book Antiqua" w:hAnsi="Book Antiqua"/>
          <w:color w:val="auto"/>
          <w:sz w:val="20"/>
          <w:szCs w:val="20"/>
        </w:rPr>
        <w:fldChar w:fldCharType="separate"/>
      </w:r>
      <w:r w:rsidR="00AA467C">
        <w:rPr>
          <w:rFonts w:ascii="Book Antiqua" w:hAnsi="Book Antiqua"/>
          <w:noProof/>
          <w:color w:val="auto"/>
          <w:sz w:val="20"/>
          <w:szCs w:val="20"/>
        </w:rPr>
        <w:t>3</w:t>
      </w:r>
      <w:r w:rsidR="00136A4B" w:rsidRPr="00C7505C">
        <w:rPr>
          <w:rFonts w:ascii="Book Antiqua" w:hAnsi="Book Antiqua"/>
          <w:color w:val="auto"/>
          <w:sz w:val="20"/>
          <w:szCs w:val="20"/>
        </w:rPr>
        <w:fldChar w:fldCharType="end"/>
      </w:r>
      <w:r w:rsidRPr="00C7505C">
        <w:rPr>
          <w:rFonts w:ascii="Book Antiqua" w:hAnsi="Book Antiqua"/>
          <w:color w:val="auto"/>
          <w:sz w:val="20"/>
          <w:szCs w:val="20"/>
        </w:rPr>
        <w:t xml:space="preserve">: </w:t>
      </w:r>
      <w:r w:rsidRPr="00C7505C">
        <w:rPr>
          <w:rFonts w:ascii="Book Antiqua" w:hAnsi="Book Antiqua"/>
          <w:b w:val="0"/>
          <w:color w:val="auto"/>
          <w:sz w:val="20"/>
          <w:szCs w:val="20"/>
        </w:rPr>
        <w:t xml:space="preserve">PPP spectrum of risk transfer </w:t>
      </w:r>
      <w:r>
        <w:rPr>
          <w:rFonts w:ascii="Book Antiqua" w:hAnsi="Book Antiqua"/>
          <w:b w:val="0"/>
          <w:color w:val="auto"/>
          <w:sz w:val="20"/>
          <w:szCs w:val="20"/>
        </w:rPr>
        <w:t xml:space="preserve">(Akintoye et al, </w:t>
      </w:r>
      <w:r w:rsidR="00813D61" w:rsidRPr="00C7505C">
        <w:rPr>
          <w:rFonts w:ascii="Book Antiqua" w:hAnsi="Book Antiqua"/>
          <w:b w:val="0"/>
          <w:color w:val="auto"/>
          <w:sz w:val="20"/>
          <w:szCs w:val="20"/>
        </w:rPr>
        <w:t>2003</w:t>
      </w:r>
      <w:r w:rsidR="005B296B">
        <w:rPr>
          <w:rFonts w:ascii="Book Antiqua" w:hAnsi="Book Antiqua"/>
          <w:b w:val="0"/>
          <w:color w:val="auto"/>
          <w:sz w:val="20"/>
          <w:szCs w:val="20"/>
        </w:rPr>
        <w:t>b</w:t>
      </w:r>
      <w:r w:rsidR="00813D61" w:rsidRPr="00C7505C">
        <w:rPr>
          <w:rFonts w:ascii="Book Antiqua" w:hAnsi="Book Antiqua"/>
          <w:b w:val="0"/>
          <w:color w:val="auto"/>
          <w:sz w:val="20"/>
          <w:szCs w:val="20"/>
        </w:rPr>
        <w:t>)</w:t>
      </w:r>
    </w:p>
    <w:p w:rsidR="005B312E" w:rsidRPr="000A3F81" w:rsidRDefault="000A3F81" w:rsidP="000A3F81">
      <w:pPr>
        <w:spacing w:line="360" w:lineRule="auto"/>
        <w:jc w:val="both"/>
        <w:rPr>
          <w:rFonts w:ascii="Book Antiqua" w:hAnsi="Book Antiqua"/>
          <w:color w:val="000000"/>
          <w:sz w:val="24"/>
          <w:szCs w:val="24"/>
        </w:rPr>
      </w:pPr>
      <w:r w:rsidRPr="000A3F81">
        <w:rPr>
          <w:rFonts w:ascii="Book Antiqua" w:hAnsi="Book Antiqua"/>
          <w:color w:val="000000"/>
          <w:sz w:val="24"/>
          <w:szCs w:val="24"/>
        </w:rPr>
        <w:t xml:space="preserve">Surveyors need to explain the cost implication of operating costs as early as possible in the design process; which makes it imperative to create dealership with political leadership on the issue of PPP. </w:t>
      </w:r>
      <w:r w:rsidR="006E362B">
        <w:rPr>
          <w:rFonts w:ascii="Book Antiqua" w:hAnsi="Book Antiqua"/>
          <w:color w:val="000000"/>
          <w:sz w:val="24"/>
          <w:szCs w:val="24"/>
        </w:rPr>
        <w:t xml:space="preserve">Proper valuation </w:t>
      </w:r>
      <w:r w:rsidR="0048113C">
        <w:rPr>
          <w:rFonts w:ascii="Book Antiqua" w:hAnsi="Book Antiqua"/>
          <w:color w:val="000000"/>
          <w:sz w:val="24"/>
          <w:szCs w:val="24"/>
        </w:rPr>
        <w:t>is another</w:t>
      </w:r>
      <w:r w:rsidR="006E362B">
        <w:rPr>
          <w:rFonts w:ascii="Book Antiqua" w:hAnsi="Book Antiqua"/>
          <w:color w:val="000000"/>
          <w:sz w:val="24"/>
          <w:szCs w:val="24"/>
        </w:rPr>
        <w:t xml:space="preserve"> critical issue </w:t>
      </w:r>
      <w:r w:rsidR="00136815">
        <w:rPr>
          <w:rFonts w:ascii="Book Antiqua" w:hAnsi="Book Antiqua"/>
          <w:color w:val="000000"/>
          <w:sz w:val="24"/>
          <w:szCs w:val="24"/>
        </w:rPr>
        <w:t xml:space="preserve">a surveyor can add to the </w:t>
      </w:r>
      <w:r w:rsidR="006E362B">
        <w:rPr>
          <w:rFonts w:ascii="Book Antiqua" w:hAnsi="Book Antiqua"/>
          <w:color w:val="000000"/>
          <w:sz w:val="24"/>
          <w:szCs w:val="24"/>
        </w:rPr>
        <w:t>financial accounting of PPP project</w:t>
      </w:r>
      <w:r w:rsidR="0048113C">
        <w:rPr>
          <w:rFonts w:ascii="Book Antiqua" w:hAnsi="Book Antiqua"/>
          <w:color w:val="000000"/>
          <w:sz w:val="24"/>
          <w:szCs w:val="24"/>
        </w:rPr>
        <w:t>s</w:t>
      </w:r>
      <w:r w:rsidR="00136815">
        <w:rPr>
          <w:rFonts w:ascii="Book Antiqua" w:hAnsi="Book Antiqua"/>
          <w:color w:val="000000"/>
          <w:sz w:val="24"/>
          <w:szCs w:val="24"/>
        </w:rPr>
        <w:t xml:space="preserve">. In advance PPP models such as PFI, determining the </w:t>
      </w:r>
      <w:r w:rsidR="00136815" w:rsidRPr="00136815">
        <w:rPr>
          <w:rFonts w:ascii="Book Antiqua" w:hAnsi="Book Antiqua"/>
          <w:color w:val="000000"/>
          <w:sz w:val="24"/>
          <w:szCs w:val="24"/>
        </w:rPr>
        <w:t xml:space="preserve">cost </w:t>
      </w:r>
      <w:r w:rsidR="00136815">
        <w:rPr>
          <w:rFonts w:ascii="Book Antiqua" w:hAnsi="Book Antiqua"/>
          <w:color w:val="000000"/>
          <w:sz w:val="24"/>
          <w:szCs w:val="24"/>
        </w:rPr>
        <w:t>of</w:t>
      </w:r>
      <w:r w:rsidR="00136815" w:rsidRPr="00136815">
        <w:rPr>
          <w:rFonts w:ascii="Book Antiqua" w:hAnsi="Book Antiqua"/>
          <w:color w:val="000000"/>
          <w:sz w:val="24"/>
          <w:szCs w:val="24"/>
        </w:rPr>
        <w:t xml:space="preserve"> legal transfer and final survey </w:t>
      </w:r>
      <w:r w:rsidR="004D7A94">
        <w:rPr>
          <w:rFonts w:ascii="Book Antiqua" w:hAnsi="Book Antiqua"/>
          <w:color w:val="000000"/>
          <w:sz w:val="24"/>
          <w:szCs w:val="24"/>
        </w:rPr>
        <w:t xml:space="preserve">is carried out in </w:t>
      </w:r>
      <w:r w:rsidR="00136815">
        <w:rPr>
          <w:rFonts w:ascii="Book Antiqua" w:hAnsi="Book Antiqua"/>
          <w:color w:val="000000"/>
          <w:sz w:val="24"/>
          <w:szCs w:val="24"/>
        </w:rPr>
        <w:t xml:space="preserve">advance </w:t>
      </w:r>
      <w:r w:rsidR="00136815">
        <w:rPr>
          <w:rFonts w:ascii="Book Antiqua" w:hAnsi="Book Antiqua"/>
          <w:color w:val="000000"/>
          <w:sz w:val="24"/>
          <w:szCs w:val="24"/>
        </w:rPr>
        <w:lastRenderedPageBreak/>
        <w:t>to</w:t>
      </w:r>
      <w:r w:rsidR="006E362B">
        <w:rPr>
          <w:rFonts w:ascii="Book Antiqua" w:hAnsi="Book Antiqua"/>
          <w:color w:val="000000"/>
          <w:sz w:val="24"/>
          <w:szCs w:val="24"/>
        </w:rPr>
        <w:t xml:space="preserve"> avoid </w:t>
      </w:r>
      <w:r w:rsidR="0048113C">
        <w:rPr>
          <w:rFonts w:ascii="Book Antiqua" w:hAnsi="Book Antiqua"/>
          <w:color w:val="000000"/>
          <w:sz w:val="24"/>
          <w:szCs w:val="24"/>
        </w:rPr>
        <w:t>signing long-term contracts</w:t>
      </w:r>
      <w:r w:rsidR="006E362B">
        <w:rPr>
          <w:rFonts w:ascii="Book Antiqua" w:hAnsi="Book Antiqua"/>
          <w:color w:val="000000"/>
          <w:sz w:val="24"/>
          <w:szCs w:val="24"/>
        </w:rPr>
        <w:t xml:space="preserve"> </w:t>
      </w:r>
      <w:r w:rsidR="0048113C">
        <w:rPr>
          <w:rFonts w:ascii="Book Antiqua" w:hAnsi="Book Antiqua"/>
          <w:color w:val="000000"/>
          <w:sz w:val="24"/>
          <w:szCs w:val="24"/>
        </w:rPr>
        <w:t>based on guesswork</w:t>
      </w:r>
      <w:r w:rsidR="006E362B">
        <w:rPr>
          <w:rFonts w:ascii="Book Antiqua" w:hAnsi="Book Antiqua"/>
          <w:color w:val="000000"/>
          <w:sz w:val="24"/>
          <w:szCs w:val="24"/>
        </w:rPr>
        <w:t xml:space="preserve"> </w:t>
      </w:r>
      <w:r w:rsidR="0048113C">
        <w:rPr>
          <w:rFonts w:ascii="Book Antiqua" w:hAnsi="Book Antiqua"/>
          <w:color w:val="000000"/>
          <w:sz w:val="24"/>
          <w:szCs w:val="24"/>
        </w:rPr>
        <w:t xml:space="preserve">which may result into disputes and international litigations. </w:t>
      </w:r>
    </w:p>
    <w:p w:rsidR="005B312E" w:rsidRPr="00F52A88" w:rsidRDefault="005B312E" w:rsidP="005B312E">
      <w:pPr>
        <w:pStyle w:val="Heading2"/>
        <w:jc w:val="both"/>
        <w:rPr>
          <w:rFonts w:ascii="Book Antiqua" w:hAnsi="Book Antiqua"/>
          <w:color w:val="auto"/>
          <w:sz w:val="28"/>
          <w:szCs w:val="28"/>
        </w:rPr>
      </w:pPr>
      <w:r w:rsidRPr="00F52A88">
        <w:rPr>
          <w:rFonts w:ascii="Book Antiqua" w:hAnsi="Book Antiqua"/>
          <w:color w:val="auto"/>
          <w:sz w:val="28"/>
          <w:szCs w:val="28"/>
        </w:rPr>
        <w:t>Discussion with evidence of institutional reaction to policy</w:t>
      </w:r>
    </w:p>
    <w:p w:rsidR="005B312E" w:rsidRDefault="006754B7" w:rsidP="00C7505C">
      <w:pPr>
        <w:spacing w:line="360" w:lineRule="auto"/>
        <w:jc w:val="both"/>
        <w:rPr>
          <w:rFonts w:ascii="Book Antiqua" w:hAnsi="Book Antiqua"/>
          <w:color w:val="000000"/>
          <w:sz w:val="24"/>
          <w:szCs w:val="24"/>
        </w:rPr>
      </w:pPr>
      <w:r w:rsidRPr="00C7505C">
        <w:rPr>
          <w:rFonts w:ascii="Book Antiqua" w:hAnsi="Book Antiqua"/>
          <w:color w:val="000000"/>
          <w:sz w:val="24"/>
          <w:szCs w:val="24"/>
        </w:rPr>
        <w:t>Henjewele (</w:t>
      </w:r>
      <w:r w:rsidR="00140810" w:rsidRPr="00C7505C">
        <w:rPr>
          <w:rFonts w:ascii="Book Antiqua" w:hAnsi="Book Antiqua"/>
          <w:color w:val="000000"/>
          <w:sz w:val="24"/>
          <w:szCs w:val="24"/>
        </w:rPr>
        <w:t>20</w:t>
      </w:r>
      <w:r w:rsidR="00140810">
        <w:rPr>
          <w:rFonts w:ascii="Book Antiqua" w:hAnsi="Book Antiqua"/>
          <w:color w:val="000000"/>
          <w:sz w:val="24"/>
          <w:szCs w:val="24"/>
        </w:rPr>
        <w:t>07</w:t>
      </w:r>
      <w:r w:rsidRPr="00C7505C">
        <w:rPr>
          <w:rFonts w:ascii="Book Antiqua" w:hAnsi="Book Antiqua"/>
          <w:color w:val="000000"/>
          <w:sz w:val="24"/>
          <w:szCs w:val="24"/>
        </w:rPr>
        <w:t xml:space="preserve">) developed a typical framework that could be used for defining the generic factors for adopting a PPP/PFI approach to the provision of a service, as shown in Figure 3. These factors are evident in the Zambian construction industry; and that the surveying </w:t>
      </w:r>
      <w:r w:rsidR="00C7505C" w:rsidRPr="00C7505C">
        <w:rPr>
          <w:rFonts w:ascii="Book Antiqua" w:hAnsi="Book Antiqua"/>
          <w:color w:val="000000"/>
          <w:sz w:val="24"/>
          <w:szCs w:val="24"/>
        </w:rPr>
        <w:t>profession tends</w:t>
      </w:r>
      <w:r w:rsidRPr="00C7505C">
        <w:rPr>
          <w:rFonts w:ascii="Book Antiqua" w:hAnsi="Book Antiqua"/>
          <w:color w:val="000000"/>
          <w:sz w:val="24"/>
          <w:szCs w:val="24"/>
        </w:rPr>
        <w:t xml:space="preserve"> to deal with them at various stages of the lifecycle product development. </w:t>
      </w:r>
      <w:r w:rsidR="00C7505C" w:rsidRPr="00C7505C">
        <w:rPr>
          <w:rFonts w:ascii="Book Antiqua" w:hAnsi="Book Antiqua"/>
          <w:color w:val="000000"/>
          <w:sz w:val="24"/>
          <w:szCs w:val="24"/>
        </w:rPr>
        <w:t xml:space="preserve">Factors such as the “sound PPP government commitment” and “political stability” need further analysis from the SIZ through strategic engagement of the leadership within government. </w:t>
      </w:r>
      <w:r w:rsidR="000A3F81">
        <w:rPr>
          <w:rFonts w:ascii="Book Antiqua" w:hAnsi="Book Antiqua"/>
          <w:color w:val="000000"/>
          <w:sz w:val="24"/>
          <w:szCs w:val="24"/>
        </w:rPr>
        <w:t xml:space="preserve"> Ultimately, the biggest risk the public can undertake is that of political decisions made by the leaders of the day; hence there should be a way of explaining these difficult decisions in a non technical way.</w:t>
      </w:r>
    </w:p>
    <w:p w:rsidR="00F52A88" w:rsidRDefault="00136A4B" w:rsidP="004D7A94">
      <w:pPr>
        <w:spacing w:line="360" w:lineRule="auto"/>
        <w:jc w:val="both"/>
        <w:rPr>
          <w:rFonts w:ascii="Book Antiqua" w:hAnsi="Book Antiqua"/>
          <w:sz w:val="20"/>
          <w:szCs w:val="20"/>
        </w:rPr>
      </w:pPr>
      <w:r w:rsidRPr="00136A4B">
        <w:rPr>
          <w:rFonts w:ascii="Arial" w:hAnsi="Arial" w:cs="Arial"/>
          <w:noProof/>
          <w:lang w:val="en-GB" w:eastAsia="en-GB" w:bidi="ar-SA"/>
        </w:rPr>
        <w:pict>
          <v:group id="_x0000_s1044" style="position:absolute;left:0;text-align:left;margin-left:6.5pt;margin-top:53.05pt;width:396.1pt;height:292.5pt;z-index:251658240" coordorigin="1975,2160" coordsize="7922,5713" o:allowoverlap="f">
            <v:shapetype id="_x0000_t202" coordsize="21600,21600" o:spt="202" path="m,l,21600r21600,l21600,xe">
              <v:stroke joinstyle="miter"/>
              <v:path gradientshapeok="t" o:connecttype="rect"/>
            </v:shapetype>
            <v:shape id="_x0000_s1045" type="#_x0000_t202" style="position:absolute;left:7377;top:3240;width:2520;height:861;mso-position-vertical:absolute" strokecolor="black [3213]">
              <v:textbox style="mso-next-textbox:#_x0000_s1045">
                <w:txbxContent>
                  <w:p w:rsidR="004D7A94" w:rsidRPr="008B01D2" w:rsidRDefault="004D7A94" w:rsidP="00F52A88">
                    <w:pPr>
                      <w:spacing w:line="240" w:lineRule="auto"/>
                      <w:contextualSpacing/>
                      <w:jc w:val="center"/>
                      <w:rPr>
                        <w:rFonts w:ascii="Book Antiqua" w:hAnsi="Book Antiqua" w:cs="Arial"/>
                        <w:sz w:val="16"/>
                        <w:szCs w:val="16"/>
                      </w:rPr>
                    </w:pPr>
                    <w:r w:rsidRPr="008B01D2">
                      <w:rPr>
                        <w:rFonts w:ascii="Book Antiqua" w:hAnsi="Book Antiqua" w:cs="Arial"/>
                        <w:sz w:val="16"/>
                        <w:szCs w:val="16"/>
                      </w:rPr>
                      <w:t>Strong Constructors’ Competitive market</w:t>
                    </w:r>
                  </w:p>
                  <w:p w:rsidR="004D7A94" w:rsidRPr="008B01D2" w:rsidRDefault="004D7A94" w:rsidP="00F52A88">
                    <w:pPr>
                      <w:spacing w:line="240" w:lineRule="auto"/>
                      <w:contextualSpacing/>
                      <w:jc w:val="center"/>
                      <w:rPr>
                        <w:rFonts w:ascii="Book Antiqua" w:hAnsi="Book Antiqua" w:cs="Arial"/>
                        <w:sz w:val="16"/>
                        <w:szCs w:val="16"/>
                      </w:rPr>
                    </w:pPr>
                    <w:r w:rsidRPr="008B01D2">
                      <w:rPr>
                        <w:rFonts w:ascii="Book Antiqua" w:hAnsi="Book Antiqua" w:cs="Arial"/>
                        <w:sz w:val="16"/>
                        <w:szCs w:val="16"/>
                      </w:rPr>
                      <w:t>Experienced Advisors</w:t>
                    </w:r>
                  </w:p>
                  <w:p w:rsidR="004D7A94" w:rsidRPr="008B01D2" w:rsidRDefault="004D7A94" w:rsidP="00F52A88">
                    <w:pPr>
                      <w:spacing w:line="240" w:lineRule="auto"/>
                      <w:contextualSpacing/>
                      <w:jc w:val="center"/>
                      <w:rPr>
                        <w:rFonts w:ascii="Book Antiqua" w:hAnsi="Book Antiqua" w:cs="Arial"/>
                        <w:sz w:val="16"/>
                        <w:szCs w:val="16"/>
                      </w:rPr>
                    </w:pPr>
                  </w:p>
                </w:txbxContent>
              </v:textbox>
            </v:shape>
            <v:shape id="_x0000_s1046" type="#_x0000_t202" style="position:absolute;left:1977;top:4711;width:2520;height:861;mso-position-vertical:absolute" strokecolor="black [3213]">
              <v:textbox style="mso-next-textbox:#_x0000_s1046">
                <w:txbxContent>
                  <w:p w:rsidR="004D7A94" w:rsidRPr="008B01D2" w:rsidRDefault="004D7A94" w:rsidP="00F52A88">
                    <w:pPr>
                      <w:spacing w:line="240" w:lineRule="auto"/>
                      <w:jc w:val="center"/>
                      <w:rPr>
                        <w:rFonts w:ascii="Book Antiqua" w:hAnsi="Book Antiqua" w:cs="Arial"/>
                        <w:sz w:val="16"/>
                        <w:szCs w:val="16"/>
                      </w:rPr>
                    </w:pPr>
                    <w:r w:rsidRPr="008B01D2">
                      <w:rPr>
                        <w:rFonts w:ascii="Book Antiqua" w:hAnsi="Book Antiqua" w:cs="Arial"/>
                        <w:sz w:val="16"/>
                        <w:szCs w:val="16"/>
                      </w:rPr>
                      <w:t>Sound PPP structure</w:t>
                    </w:r>
                  </w:p>
                  <w:p w:rsidR="004D7A94" w:rsidRPr="008B01D2" w:rsidRDefault="004D7A94" w:rsidP="00F52A88">
                    <w:pPr>
                      <w:spacing w:line="240" w:lineRule="auto"/>
                      <w:jc w:val="center"/>
                      <w:rPr>
                        <w:rFonts w:ascii="Book Antiqua" w:hAnsi="Book Antiqua" w:cs="Arial"/>
                        <w:sz w:val="16"/>
                        <w:szCs w:val="16"/>
                      </w:rPr>
                    </w:pPr>
                    <w:r w:rsidRPr="008B01D2">
                      <w:rPr>
                        <w:rFonts w:ascii="Book Antiqua" w:hAnsi="Book Antiqua" w:cs="Arial"/>
                        <w:sz w:val="16"/>
                        <w:szCs w:val="16"/>
                      </w:rPr>
                      <w:t>Committed Government</w:t>
                    </w:r>
                  </w:p>
                  <w:p w:rsidR="004D7A94" w:rsidRPr="008B01D2" w:rsidRDefault="004D7A94" w:rsidP="00F52A88">
                    <w:pPr>
                      <w:spacing w:line="240" w:lineRule="auto"/>
                      <w:jc w:val="center"/>
                      <w:rPr>
                        <w:rFonts w:ascii="Book Antiqua" w:hAnsi="Book Antiqua" w:cs="Arial"/>
                        <w:sz w:val="16"/>
                        <w:szCs w:val="16"/>
                      </w:rPr>
                    </w:pPr>
                    <w:r w:rsidRPr="008B01D2">
                      <w:rPr>
                        <w:rFonts w:ascii="Book Antiqua" w:hAnsi="Book Antiqua" w:cs="Arial"/>
                        <w:sz w:val="16"/>
                        <w:szCs w:val="16"/>
                      </w:rPr>
                      <w:t>Supports and Incentives</w:t>
                    </w:r>
                  </w:p>
                  <w:p w:rsidR="004D7A94" w:rsidRPr="008B01D2" w:rsidRDefault="004D7A94" w:rsidP="00F52A88">
                    <w:pPr>
                      <w:spacing w:line="240" w:lineRule="auto"/>
                      <w:jc w:val="center"/>
                      <w:rPr>
                        <w:rFonts w:ascii="Book Antiqua" w:hAnsi="Book Antiqua" w:cs="Arial"/>
                        <w:sz w:val="16"/>
                        <w:szCs w:val="16"/>
                      </w:rPr>
                    </w:pPr>
                  </w:p>
                </w:txbxContent>
              </v:textbox>
            </v:shape>
            <v:shape id="_x0000_s1047" type="#_x0000_t202" style="position:absolute;left:4677;top:6840;width:2520;height:1033;mso-position-vertical:absolute" strokecolor="black [3213]">
              <v:textbox style="mso-next-textbox:#_x0000_s1047">
                <w:txbxContent>
                  <w:p w:rsidR="004D7A94" w:rsidRPr="008B01D2" w:rsidRDefault="004D7A94" w:rsidP="00F52A88">
                    <w:pPr>
                      <w:spacing w:line="240" w:lineRule="auto"/>
                      <w:contextualSpacing/>
                      <w:jc w:val="center"/>
                      <w:rPr>
                        <w:rFonts w:ascii="Book Antiqua" w:hAnsi="Book Antiqua" w:cs="Arial"/>
                        <w:sz w:val="16"/>
                        <w:szCs w:val="16"/>
                      </w:rPr>
                    </w:pPr>
                    <w:r w:rsidRPr="008B01D2">
                      <w:rPr>
                        <w:rFonts w:ascii="Book Antiqua" w:hAnsi="Book Antiqua" w:cs="Arial"/>
                        <w:sz w:val="16"/>
                        <w:szCs w:val="16"/>
                      </w:rPr>
                      <w:t>Advancing economy</w:t>
                    </w:r>
                  </w:p>
                  <w:p w:rsidR="004D7A94" w:rsidRPr="008B01D2" w:rsidRDefault="004D7A94" w:rsidP="00F52A88">
                    <w:pPr>
                      <w:spacing w:line="240" w:lineRule="auto"/>
                      <w:contextualSpacing/>
                      <w:jc w:val="center"/>
                      <w:rPr>
                        <w:rFonts w:ascii="Book Antiqua" w:hAnsi="Book Antiqua" w:cs="Arial"/>
                        <w:sz w:val="16"/>
                        <w:szCs w:val="16"/>
                      </w:rPr>
                    </w:pPr>
                    <w:r w:rsidRPr="008B01D2">
                      <w:rPr>
                        <w:rFonts w:ascii="Book Antiqua" w:hAnsi="Book Antiqua" w:cs="Arial"/>
                        <w:sz w:val="16"/>
                        <w:szCs w:val="16"/>
                      </w:rPr>
                      <w:t>Convertible currency</w:t>
                    </w:r>
                  </w:p>
                  <w:p w:rsidR="004D7A94" w:rsidRPr="008B01D2" w:rsidRDefault="004D7A94" w:rsidP="00F52A88">
                    <w:pPr>
                      <w:spacing w:line="240" w:lineRule="auto"/>
                      <w:contextualSpacing/>
                      <w:jc w:val="center"/>
                      <w:rPr>
                        <w:rFonts w:ascii="Book Antiqua" w:hAnsi="Book Antiqua" w:cs="Arial"/>
                        <w:sz w:val="16"/>
                        <w:szCs w:val="16"/>
                      </w:rPr>
                    </w:pPr>
                    <w:r w:rsidRPr="008B01D2">
                      <w:rPr>
                        <w:rFonts w:ascii="Book Antiqua" w:hAnsi="Book Antiqua" w:cs="Arial"/>
                        <w:sz w:val="16"/>
                        <w:szCs w:val="16"/>
                      </w:rPr>
                      <w:t>Low inflations</w:t>
                    </w:r>
                  </w:p>
                  <w:p w:rsidR="004D7A94" w:rsidRPr="008B01D2" w:rsidRDefault="004D7A94" w:rsidP="00F52A88">
                    <w:pPr>
                      <w:spacing w:line="240" w:lineRule="auto"/>
                      <w:contextualSpacing/>
                      <w:jc w:val="center"/>
                      <w:rPr>
                        <w:rFonts w:ascii="Book Antiqua" w:hAnsi="Book Antiqua" w:cs="Arial"/>
                        <w:sz w:val="16"/>
                        <w:szCs w:val="16"/>
                      </w:rPr>
                    </w:pPr>
                    <w:r w:rsidRPr="008B01D2">
                      <w:rPr>
                        <w:rFonts w:ascii="Book Antiqua" w:hAnsi="Book Antiqua" w:cs="Arial"/>
                        <w:sz w:val="16"/>
                        <w:szCs w:val="16"/>
                      </w:rPr>
                      <w:t>Low interest rate</w:t>
                    </w:r>
                  </w:p>
                  <w:p w:rsidR="004D7A94" w:rsidRPr="008B01D2" w:rsidRDefault="004D7A94" w:rsidP="00F52A88">
                    <w:pPr>
                      <w:spacing w:line="240" w:lineRule="auto"/>
                      <w:contextualSpacing/>
                      <w:jc w:val="center"/>
                      <w:rPr>
                        <w:rFonts w:ascii="Book Antiqua" w:hAnsi="Book Antiqua" w:cs="Arial"/>
                        <w:sz w:val="16"/>
                        <w:szCs w:val="16"/>
                      </w:rPr>
                    </w:pPr>
                  </w:p>
                  <w:p w:rsidR="004D7A94" w:rsidRPr="008B01D2" w:rsidRDefault="004D7A94" w:rsidP="00F52A88">
                    <w:pPr>
                      <w:spacing w:line="240" w:lineRule="auto"/>
                      <w:contextualSpacing/>
                      <w:jc w:val="center"/>
                      <w:rPr>
                        <w:rFonts w:ascii="Book Antiqua" w:hAnsi="Book Antiqua" w:cs="Arial"/>
                        <w:sz w:val="16"/>
                        <w:szCs w:val="16"/>
                      </w:rPr>
                    </w:pPr>
                    <w:r w:rsidRPr="008B01D2">
                      <w:rPr>
                        <w:rFonts w:ascii="Book Antiqua" w:hAnsi="Book Antiqua" w:cs="Arial"/>
                        <w:sz w:val="16"/>
                        <w:szCs w:val="16"/>
                      </w:rPr>
                      <w:t>Experienced advisors</w:t>
                    </w:r>
                  </w:p>
                  <w:p w:rsidR="004D7A94" w:rsidRPr="008B01D2" w:rsidRDefault="004D7A94" w:rsidP="00F52A88">
                    <w:pPr>
                      <w:spacing w:line="240" w:lineRule="auto"/>
                      <w:contextualSpacing/>
                      <w:jc w:val="center"/>
                      <w:rPr>
                        <w:rFonts w:ascii="Book Antiqua" w:hAnsi="Book Antiqua" w:cs="Arial"/>
                        <w:sz w:val="16"/>
                        <w:szCs w:val="16"/>
                      </w:rPr>
                    </w:pPr>
                  </w:p>
                </w:txbxContent>
              </v:textbox>
            </v:shape>
            <v:shape id="_x0000_s1048" type="#_x0000_t202" style="position:absolute;left:1975;top:3334;width:2520;height:861;mso-position-vertical:absolute" strokecolor="black [3213]">
              <v:textbox style="mso-next-textbox:#_x0000_s1048">
                <w:txbxContent>
                  <w:p w:rsidR="004D7A94" w:rsidRPr="008B01D2" w:rsidRDefault="004D7A94" w:rsidP="00F52A88">
                    <w:pPr>
                      <w:spacing w:line="240" w:lineRule="auto"/>
                      <w:jc w:val="center"/>
                      <w:rPr>
                        <w:rFonts w:ascii="Book Antiqua" w:hAnsi="Book Antiqua" w:cs="Arial"/>
                        <w:sz w:val="16"/>
                        <w:szCs w:val="16"/>
                      </w:rPr>
                    </w:pPr>
                    <w:r w:rsidRPr="008B01D2">
                      <w:rPr>
                        <w:rFonts w:ascii="Book Antiqua" w:hAnsi="Book Antiqua" w:cs="Arial"/>
                        <w:sz w:val="16"/>
                        <w:szCs w:val="16"/>
                      </w:rPr>
                      <w:t xml:space="preserve">Political stability </w:t>
                    </w:r>
                  </w:p>
                  <w:p w:rsidR="004D7A94" w:rsidRPr="008B01D2" w:rsidRDefault="004D7A94" w:rsidP="00F52A88">
                    <w:pPr>
                      <w:spacing w:line="240" w:lineRule="auto"/>
                      <w:jc w:val="center"/>
                      <w:rPr>
                        <w:rFonts w:ascii="Book Antiqua" w:hAnsi="Book Antiqua" w:cs="Arial"/>
                        <w:sz w:val="16"/>
                        <w:szCs w:val="16"/>
                      </w:rPr>
                    </w:pPr>
                    <w:r w:rsidRPr="008B01D2">
                      <w:rPr>
                        <w:rFonts w:ascii="Book Antiqua" w:hAnsi="Book Antiqua" w:cs="Arial"/>
                        <w:sz w:val="16"/>
                        <w:szCs w:val="16"/>
                      </w:rPr>
                      <w:t>Peaceful environment</w:t>
                    </w:r>
                  </w:p>
                  <w:p w:rsidR="004D7A94" w:rsidRPr="008B01D2" w:rsidRDefault="004D7A94" w:rsidP="00F52A88">
                    <w:pPr>
                      <w:spacing w:line="240" w:lineRule="auto"/>
                      <w:jc w:val="center"/>
                      <w:rPr>
                        <w:rFonts w:ascii="Book Antiqua" w:hAnsi="Book Antiqua" w:cs="Arial"/>
                        <w:sz w:val="16"/>
                        <w:szCs w:val="16"/>
                      </w:rPr>
                    </w:pPr>
                    <w:r w:rsidRPr="008B01D2">
                      <w:rPr>
                        <w:rFonts w:ascii="Book Antiqua" w:hAnsi="Book Antiqua" w:cs="Arial"/>
                        <w:sz w:val="16"/>
                        <w:szCs w:val="16"/>
                      </w:rPr>
                      <w:t>Sound Public Sector</w:t>
                    </w:r>
                  </w:p>
                  <w:p w:rsidR="004D7A94" w:rsidRPr="008B01D2" w:rsidRDefault="004D7A94" w:rsidP="00F52A88">
                    <w:pPr>
                      <w:spacing w:line="240" w:lineRule="auto"/>
                      <w:jc w:val="center"/>
                      <w:rPr>
                        <w:rFonts w:ascii="Book Antiqua" w:hAnsi="Book Antiqua" w:cs="Arial"/>
                        <w:sz w:val="16"/>
                        <w:szCs w:val="16"/>
                      </w:rPr>
                    </w:pPr>
                  </w:p>
                </w:txbxContent>
              </v:textbox>
            </v:shape>
            <v:shape id="_x0000_s1049" type="#_x0000_t202" style="position:absolute;left:7377;top:4711;width:2520;height:861;mso-position-vertical:absolute" strokecolor="black [3213]">
              <v:textbox style="mso-next-textbox:#_x0000_s1049">
                <w:txbxContent>
                  <w:p w:rsidR="004D7A94" w:rsidRPr="008B01D2" w:rsidRDefault="004D7A94" w:rsidP="00F52A88">
                    <w:pPr>
                      <w:spacing w:line="240" w:lineRule="auto"/>
                      <w:jc w:val="center"/>
                      <w:rPr>
                        <w:rFonts w:ascii="Book Antiqua" w:hAnsi="Book Antiqua" w:cs="Arial"/>
                        <w:sz w:val="16"/>
                        <w:szCs w:val="16"/>
                      </w:rPr>
                    </w:pPr>
                    <w:r w:rsidRPr="008B01D2">
                      <w:rPr>
                        <w:rFonts w:ascii="Book Antiqua" w:hAnsi="Book Antiqua" w:cs="Arial"/>
                        <w:sz w:val="16"/>
                        <w:szCs w:val="16"/>
                      </w:rPr>
                      <w:t>Innovative PPP strategy</w:t>
                    </w:r>
                  </w:p>
                  <w:p w:rsidR="004D7A94" w:rsidRPr="008B01D2" w:rsidRDefault="004D7A94" w:rsidP="00F52A88">
                    <w:pPr>
                      <w:spacing w:line="240" w:lineRule="auto"/>
                      <w:jc w:val="center"/>
                      <w:rPr>
                        <w:rFonts w:ascii="Book Antiqua" w:hAnsi="Book Antiqua" w:cs="Arial"/>
                        <w:sz w:val="16"/>
                        <w:szCs w:val="16"/>
                      </w:rPr>
                    </w:pPr>
                    <w:r w:rsidRPr="008B01D2">
                      <w:rPr>
                        <w:rFonts w:ascii="Book Antiqua" w:hAnsi="Book Antiqua" w:cs="Arial"/>
                        <w:sz w:val="16"/>
                        <w:szCs w:val="16"/>
                      </w:rPr>
                      <w:t>Specific policies</w:t>
                    </w:r>
                  </w:p>
                  <w:p w:rsidR="004D7A94" w:rsidRPr="008B01D2" w:rsidRDefault="004D7A94" w:rsidP="00F52A88">
                    <w:pPr>
                      <w:spacing w:line="240" w:lineRule="auto"/>
                      <w:jc w:val="center"/>
                      <w:rPr>
                        <w:rFonts w:ascii="Book Antiqua" w:hAnsi="Book Antiqua" w:cs="Arial"/>
                        <w:sz w:val="16"/>
                        <w:szCs w:val="16"/>
                      </w:rPr>
                    </w:pPr>
                    <w:r w:rsidRPr="008B01D2">
                      <w:rPr>
                        <w:rFonts w:ascii="Book Antiqua" w:hAnsi="Book Antiqua" w:cs="Arial"/>
                        <w:sz w:val="16"/>
                        <w:szCs w:val="16"/>
                      </w:rPr>
                      <w:t>Supportive policies</w:t>
                    </w:r>
                  </w:p>
                  <w:p w:rsidR="004D7A94" w:rsidRPr="008B01D2" w:rsidRDefault="004D7A94" w:rsidP="00F52A88">
                    <w:pPr>
                      <w:spacing w:line="240" w:lineRule="auto"/>
                      <w:jc w:val="center"/>
                      <w:rPr>
                        <w:rFonts w:ascii="Book Antiqua" w:hAnsi="Book Antiqua" w:cs="Arial"/>
                        <w:sz w:val="16"/>
                        <w:szCs w:val="16"/>
                      </w:rPr>
                    </w:pPr>
                  </w:p>
                </w:txbxContent>
              </v:textbox>
            </v:shape>
            <v:shape id="_x0000_s1050" type="#_x0000_t202" style="position:absolute;left:1975;top:5917;width:2520;height:860;mso-position-vertical:absolute" strokecolor="black [3213]">
              <v:textbox style="mso-next-textbox:#_x0000_s1050">
                <w:txbxContent>
                  <w:p w:rsidR="004D7A94" w:rsidRPr="008B01D2" w:rsidRDefault="004D7A94" w:rsidP="00F52A88">
                    <w:pPr>
                      <w:spacing w:line="240" w:lineRule="auto"/>
                      <w:jc w:val="center"/>
                      <w:rPr>
                        <w:rFonts w:ascii="Book Antiqua" w:hAnsi="Book Antiqua" w:cs="Arial"/>
                        <w:sz w:val="16"/>
                        <w:szCs w:val="16"/>
                      </w:rPr>
                    </w:pPr>
                    <w:r w:rsidRPr="008B01D2">
                      <w:rPr>
                        <w:rFonts w:ascii="Book Antiqua" w:hAnsi="Book Antiqua" w:cs="Arial"/>
                        <w:sz w:val="16"/>
                        <w:szCs w:val="16"/>
                      </w:rPr>
                      <w:t>Specific regulations</w:t>
                    </w:r>
                  </w:p>
                  <w:p w:rsidR="004D7A94" w:rsidRPr="008B01D2" w:rsidRDefault="004D7A94" w:rsidP="00F52A88">
                    <w:pPr>
                      <w:spacing w:line="240" w:lineRule="auto"/>
                      <w:jc w:val="center"/>
                      <w:rPr>
                        <w:rFonts w:ascii="Book Antiqua" w:hAnsi="Book Antiqua" w:cs="Arial"/>
                        <w:sz w:val="16"/>
                        <w:szCs w:val="16"/>
                      </w:rPr>
                    </w:pPr>
                    <w:r w:rsidRPr="008B01D2">
                      <w:rPr>
                        <w:rFonts w:ascii="Book Antiqua" w:hAnsi="Book Antiqua" w:cs="Arial"/>
                        <w:sz w:val="16"/>
                        <w:szCs w:val="16"/>
                      </w:rPr>
                      <w:t>Integrated Legislatures</w:t>
                    </w:r>
                  </w:p>
                  <w:p w:rsidR="004D7A94" w:rsidRPr="008B01D2" w:rsidRDefault="004D7A94" w:rsidP="00F52A88">
                    <w:pPr>
                      <w:spacing w:line="240" w:lineRule="auto"/>
                      <w:jc w:val="center"/>
                      <w:rPr>
                        <w:rFonts w:ascii="Book Antiqua" w:hAnsi="Book Antiqua" w:cs="Arial"/>
                        <w:sz w:val="16"/>
                        <w:szCs w:val="16"/>
                      </w:rPr>
                    </w:pPr>
                    <w:r w:rsidRPr="008B01D2">
                      <w:rPr>
                        <w:rFonts w:ascii="Book Antiqua" w:hAnsi="Book Antiqua" w:cs="Arial"/>
                        <w:sz w:val="16"/>
                        <w:szCs w:val="16"/>
                      </w:rPr>
                      <w:t>Latest Codes of practice</w:t>
                    </w:r>
                  </w:p>
                  <w:p w:rsidR="004D7A94" w:rsidRPr="008B01D2" w:rsidRDefault="004D7A94" w:rsidP="00F52A88">
                    <w:pPr>
                      <w:spacing w:line="240" w:lineRule="auto"/>
                      <w:jc w:val="center"/>
                      <w:rPr>
                        <w:rFonts w:ascii="Book Antiqua" w:hAnsi="Book Antiqua" w:cs="Arial"/>
                        <w:sz w:val="16"/>
                        <w:szCs w:val="16"/>
                      </w:rPr>
                    </w:pPr>
                  </w:p>
                </w:txbxContent>
              </v:textbox>
            </v:shape>
            <v:shape id="_x0000_s1051" type="#_x0000_t202" style="position:absolute;left:7377;top:5917;width:2520;height:860;mso-position-vertical:absolute" strokecolor="black [3213]">
              <v:textbox style="mso-next-textbox:#_x0000_s1051">
                <w:txbxContent>
                  <w:p w:rsidR="004D7A94" w:rsidRPr="008B01D2" w:rsidRDefault="004D7A94" w:rsidP="00F52A88">
                    <w:pPr>
                      <w:spacing w:line="240" w:lineRule="auto"/>
                      <w:jc w:val="center"/>
                      <w:rPr>
                        <w:rFonts w:ascii="Book Antiqua" w:hAnsi="Book Antiqua" w:cs="Arial"/>
                        <w:sz w:val="16"/>
                        <w:szCs w:val="16"/>
                      </w:rPr>
                    </w:pPr>
                    <w:r w:rsidRPr="008B01D2">
                      <w:rPr>
                        <w:rFonts w:ascii="Book Antiqua" w:hAnsi="Book Antiqua" w:cs="Arial"/>
                        <w:sz w:val="16"/>
                        <w:szCs w:val="16"/>
                      </w:rPr>
                      <w:t>Social support</w:t>
                    </w:r>
                  </w:p>
                  <w:p w:rsidR="004D7A94" w:rsidRPr="008B01D2" w:rsidRDefault="004D7A94" w:rsidP="00F52A88">
                    <w:pPr>
                      <w:spacing w:line="240" w:lineRule="auto"/>
                      <w:jc w:val="center"/>
                      <w:rPr>
                        <w:rFonts w:ascii="Book Antiqua" w:hAnsi="Book Antiqua" w:cs="Arial"/>
                        <w:sz w:val="16"/>
                        <w:szCs w:val="16"/>
                      </w:rPr>
                    </w:pPr>
                  </w:p>
                  <w:p w:rsidR="004D7A94" w:rsidRPr="008B01D2" w:rsidRDefault="004D7A94" w:rsidP="00F52A88">
                    <w:pPr>
                      <w:spacing w:line="240" w:lineRule="auto"/>
                      <w:jc w:val="center"/>
                      <w:rPr>
                        <w:rFonts w:ascii="Book Antiqua" w:hAnsi="Book Antiqua" w:cs="Arial"/>
                        <w:sz w:val="16"/>
                        <w:szCs w:val="16"/>
                      </w:rPr>
                    </w:pPr>
                    <w:r w:rsidRPr="008B01D2">
                      <w:rPr>
                        <w:rFonts w:ascii="Book Antiqua" w:hAnsi="Book Antiqua" w:cs="Arial"/>
                        <w:sz w:val="16"/>
                        <w:szCs w:val="16"/>
                      </w:rPr>
                      <w:t>(No definable standards)</w:t>
                    </w:r>
                  </w:p>
                  <w:p w:rsidR="004D7A94" w:rsidRPr="008B01D2" w:rsidRDefault="004D7A94" w:rsidP="00F52A88">
                    <w:pPr>
                      <w:spacing w:line="240" w:lineRule="auto"/>
                      <w:jc w:val="center"/>
                      <w:rPr>
                        <w:rFonts w:ascii="Book Antiqua" w:hAnsi="Book Antiqua" w:cs="Arial"/>
                        <w:sz w:val="16"/>
                        <w:szCs w:val="16"/>
                      </w:rPr>
                    </w:pPr>
                  </w:p>
                </w:txbxContent>
              </v:textbox>
            </v:shape>
            <v:shape id="_x0000_s1052" type="#_x0000_t202" style="position:absolute;left:4677;top:2160;width:2520;height:1148;mso-position-vertical:absolute" strokecolor="black [3213]">
              <v:textbox style="mso-next-textbox:#_x0000_s1052">
                <w:txbxContent>
                  <w:p w:rsidR="004D7A94" w:rsidRPr="008B01D2" w:rsidRDefault="004D7A94" w:rsidP="00F52A88">
                    <w:pPr>
                      <w:spacing w:line="240" w:lineRule="auto"/>
                      <w:contextualSpacing/>
                      <w:jc w:val="center"/>
                      <w:rPr>
                        <w:rFonts w:ascii="Book Antiqua" w:hAnsi="Book Antiqua" w:cs="Arial"/>
                        <w:sz w:val="16"/>
                        <w:szCs w:val="16"/>
                      </w:rPr>
                    </w:pPr>
                    <w:r w:rsidRPr="008B01D2">
                      <w:rPr>
                        <w:rFonts w:ascii="Book Antiqua" w:hAnsi="Book Antiqua" w:cs="Arial"/>
                        <w:sz w:val="16"/>
                        <w:szCs w:val="16"/>
                      </w:rPr>
                      <w:t>Low investment risks</w:t>
                    </w:r>
                  </w:p>
                  <w:p w:rsidR="004D7A94" w:rsidRPr="008B01D2" w:rsidRDefault="004D7A94" w:rsidP="00F52A88">
                    <w:pPr>
                      <w:spacing w:line="240" w:lineRule="auto"/>
                      <w:contextualSpacing/>
                      <w:jc w:val="center"/>
                      <w:rPr>
                        <w:rFonts w:ascii="Book Antiqua" w:hAnsi="Book Antiqua" w:cs="Arial"/>
                        <w:sz w:val="16"/>
                        <w:szCs w:val="16"/>
                      </w:rPr>
                    </w:pPr>
                    <w:r w:rsidRPr="008B01D2">
                      <w:rPr>
                        <w:rFonts w:ascii="Book Antiqua" w:hAnsi="Book Antiqua" w:cs="Arial"/>
                        <w:sz w:val="16"/>
                        <w:szCs w:val="16"/>
                      </w:rPr>
                      <w:t>Dedicated Banks</w:t>
                    </w:r>
                  </w:p>
                  <w:p w:rsidR="004D7A94" w:rsidRPr="008B01D2" w:rsidRDefault="004D7A94" w:rsidP="00F52A88">
                    <w:pPr>
                      <w:spacing w:line="240" w:lineRule="auto"/>
                      <w:contextualSpacing/>
                      <w:jc w:val="center"/>
                      <w:rPr>
                        <w:rFonts w:ascii="Book Antiqua" w:hAnsi="Book Antiqua" w:cs="Arial"/>
                        <w:sz w:val="16"/>
                        <w:szCs w:val="16"/>
                      </w:rPr>
                    </w:pPr>
                    <w:r w:rsidRPr="008B01D2">
                      <w:rPr>
                        <w:rFonts w:ascii="Book Antiqua" w:hAnsi="Book Antiqua" w:cs="Arial"/>
                        <w:sz w:val="16"/>
                        <w:szCs w:val="16"/>
                      </w:rPr>
                      <w:t>Accessible finance</w:t>
                    </w:r>
                  </w:p>
                  <w:p w:rsidR="004D7A94" w:rsidRPr="008B01D2" w:rsidRDefault="004D7A94" w:rsidP="00F52A88">
                    <w:pPr>
                      <w:spacing w:line="240" w:lineRule="auto"/>
                      <w:contextualSpacing/>
                      <w:jc w:val="center"/>
                      <w:rPr>
                        <w:rFonts w:ascii="Book Antiqua" w:hAnsi="Book Antiqua" w:cs="Arial"/>
                        <w:sz w:val="16"/>
                        <w:szCs w:val="16"/>
                      </w:rPr>
                    </w:pPr>
                    <w:r w:rsidRPr="008B01D2">
                      <w:rPr>
                        <w:rFonts w:ascii="Book Antiqua" w:hAnsi="Book Antiqua" w:cs="Arial"/>
                        <w:sz w:val="16"/>
                        <w:szCs w:val="16"/>
                      </w:rPr>
                      <w:t>Experienced Banks</w:t>
                    </w:r>
                  </w:p>
                </w:txbxContent>
              </v:textbox>
            </v:shape>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1053" type="#_x0000_t99" style="position:absolute;left:7017;top:2340;width:1307;height:1399;rotation:494933fd" adj="-6265344,-922763,6317" fillcolor="#9cf" strokecolor="#ff9"/>
            <v:shape id="_x0000_s1054" type="#_x0000_t99" style="position:absolute;left:6883;top:6254;width:1307;height:1399;rotation:6335231fd" adj="-6265344,-922763,6317" fillcolor="#9cf" strokecolor="#ff9"/>
            <v:shape id="_x0000_s1055" type="#_x0000_t99" style="position:absolute;left:3777;top:6300;width:1307;height:1399;rotation:12012640fd" adj="-6265344,-922763,6317" fillcolor="#9cf" strokecolor="#ff9"/>
            <v:shape id="_x0000_s1056" type="#_x0000_t99" style="position:absolute;left:3777;top:2474;width:1307;height:1399;rotation:-5667528fd" adj="-6265344,-922763,6317" fillcolor="#9cf" strokecolor="#ff9"/>
            <v:shape id="_x0000_s1057" type="#_x0000_t99" style="position:absolute;left:7197;top:3600;width:1307;height:1399;rotation:-1596595fd" adj="1045221,1868951,6968" fillcolor="#9cf" strokecolor="#ff9"/>
            <v:shape id="_x0000_s1058" type="#_x0000_t99" style="position:absolute;left:7197;top:4860;width:1307;height:1399;rotation:-1596595fd" adj="1045221,1868951,6968" fillcolor="#9cf" strokecolor="#ff9"/>
            <v:shape id="_x0000_s1059" type="#_x0000_t99" style="position:absolute;left:3237;top:3780;width:1307;height:1399;rotation:10017390fd" adj="1045221,1868951,6968" fillcolor="#9cf" strokecolor="#ff9"/>
            <v:shape id="_x0000_s1060" type="#_x0000_t99" style="position:absolute;left:3237;top:5220;width:1307;height:1399;rotation:10017390fd" adj="1045221,1868951,6968" fillcolor="#9cf" strokecolor="#ff9"/>
            <w10:wrap type="topAndBottom"/>
          </v:group>
        </w:pict>
      </w:r>
    </w:p>
    <w:p w:rsidR="006754B7" w:rsidRPr="00F52A88" w:rsidRDefault="00C7505C" w:rsidP="00F52A88">
      <w:pPr>
        <w:spacing w:before="100" w:beforeAutospacing="1" w:after="100" w:afterAutospacing="1" w:line="360" w:lineRule="auto"/>
        <w:jc w:val="both"/>
        <w:rPr>
          <w:rFonts w:ascii="Book Antiqua" w:hAnsi="Book Antiqua"/>
          <w:b/>
          <w:bCs/>
          <w:i/>
          <w:sz w:val="20"/>
          <w:szCs w:val="20"/>
        </w:rPr>
      </w:pPr>
      <w:r w:rsidRPr="00F52A88">
        <w:rPr>
          <w:rFonts w:ascii="Book Antiqua" w:hAnsi="Book Antiqua"/>
          <w:b/>
          <w:sz w:val="20"/>
          <w:szCs w:val="20"/>
        </w:rPr>
        <w:t xml:space="preserve">Figure </w:t>
      </w:r>
      <w:r w:rsidR="00136A4B" w:rsidRPr="00F52A88">
        <w:rPr>
          <w:rFonts w:ascii="Book Antiqua" w:hAnsi="Book Antiqua"/>
          <w:b/>
          <w:sz w:val="20"/>
          <w:szCs w:val="20"/>
        </w:rPr>
        <w:fldChar w:fldCharType="begin"/>
      </w:r>
      <w:r w:rsidRPr="00F52A88">
        <w:rPr>
          <w:rFonts w:ascii="Book Antiqua" w:hAnsi="Book Antiqua"/>
          <w:b/>
          <w:sz w:val="20"/>
          <w:szCs w:val="20"/>
        </w:rPr>
        <w:instrText xml:space="preserve"> SEQ Figure \* ARABIC </w:instrText>
      </w:r>
      <w:r w:rsidR="00136A4B" w:rsidRPr="00F52A88">
        <w:rPr>
          <w:rFonts w:ascii="Book Antiqua" w:hAnsi="Book Antiqua"/>
          <w:b/>
          <w:sz w:val="20"/>
          <w:szCs w:val="20"/>
        </w:rPr>
        <w:fldChar w:fldCharType="separate"/>
      </w:r>
      <w:r w:rsidR="00D51168" w:rsidRPr="00F52A88">
        <w:rPr>
          <w:rFonts w:ascii="Book Antiqua" w:hAnsi="Book Antiqua"/>
          <w:b/>
          <w:noProof/>
          <w:sz w:val="20"/>
          <w:szCs w:val="20"/>
        </w:rPr>
        <w:t>4</w:t>
      </w:r>
      <w:r w:rsidR="00136A4B" w:rsidRPr="00F52A88">
        <w:rPr>
          <w:rFonts w:ascii="Book Antiqua" w:hAnsi="Book Antiqua"/>
          <w:b/>
          <w:sz w:val="20"/>
          <w:szCs w:val="20"/>
        </w:rPr>
        <w:fldChar w:fldCharType="end"/>
      </w:r>
      <w:r w:rsidRPr="00F52A88">
        <w:rPr>
          <w:rFonts w:ascii="Book Antiqua" w:hAnsi="Book Antiqua"/>
          <w:b/>
          <w:sz w:val="20"/>
          <w:szCs w:val="20"/>
        </w:rPr>
        <w:t xml:space="preserve">: </w:t>
      </w:r>
      <w:r w:rsidR="006754B7" w:rsidRPr="00F52A88">
        <w:rPr>
          <w:rFonts w:ascii="Book Antiqua" w:hAnsi="Book Antiqua" w:cs="Arial"/>
          <w:sz w:val="20"/>
          <w:szCs w:val="20"/>
        </w:rPr>
        <w:t>Framework for defining generi</w:t>
      </w:r>
      <w:r w:rsidR="006754B7" w:rsidRPr="00F52A88">
        <w:rPr>
          <w:rFonts w:ascii="Book Antiqua" w:hAnsi="Book Antiqua"/>
          <w:sz w:val="20"/>
          <w:szCs w:val="20"/>
        </w:rPr>
        <w:t xml:space="preserve">c factors for PPP adoption (Source: </w:t>
      </w:r>
      <w:r w:rsidR="006754B7" w:rsidRPr="00F52A88">
        <w:rPr>
          <w:rFonts w:ascii="Book Antiqua" w:hAnsi="Book Antiqua"/>
          <w:bCs/>
          <w:sz w:val="20"/>
          <w:szCs w:val="20"/>
        </w:rPr>
        <w:t xml:space="preserve">Henjewele, </w:t>
      </w:r>
      <w:r w:rsidR="00140810" w:rsidRPr="00F52A88">
        <w:rPr>
          <w:rFonts w:ascii="Book Antiqua" w:hAnsi="Book Antiqua"/>
          <w:bCs/>
          <w:sz w:val="20"/>
          <w:szCs w:val="20"/>
        </w:rPr>
        <w:t>20</w:t>
      </w:r>
      <w:r w:rsidR="00140810">
        <w:rPr>
          <w:rFonts w:ascii="Book Antiqua" w:hAnsi="Book Antiqua"/>
          <w:bCs/>
          <w:sz w:val="20"/>
          <w:szCs w:val="20"/>
        </w:rPr>
        <w:t>07</w:t>
      </w:r>
      <w:r w:rsidR="006754B7" w:rsidRPr="00F52A88">
        <w:rPr>
          <w:rFonts w:ascii="Book Antiqua" w:hAnsi="Book Antiqua"/>
          <w:bCs/>
          <w:i/>
          <w:sz w:val="20"/>
          <w:szCs w:val="20"/>
        </w:rPr>
        <w:t>)</w:t>
      </w:r>
    </w:p>
    <w:p w:rsidR="005B312E" w:rsidRPr="008B01D2" w:rsidRDefault="000A3F81" w:rsidP="005B312E">
      <w:pPr>
        <w:pStyle w:val="Heading2"/>
        <w:jc w:val="both"/>
        <w:rPr>
          <w:rFonts w:ascii="Book Antiqua" w:hAnsi="Book Antiqua"/>
          <w:color w:val="auto"/>
          <w:sz w:val="28"/>
          <w:szCs w:val="28"/>
        </w:rPr>
      </w:pPr>
      <w:r>
        <w:rPr>
          <w:rFonts w:ascii="Book Antiqua" w:hAnsi="Book Antiqua"/>
          <w:color w:val="auto"/>
          <w:sz w:val="28"/>
          <w:szCs w:val="28"/>
        </w:rPr>
        <w:lastRenderedPageBreak/>
        <w:t>Conclusion</w:t>
      </w:r>
    </w:p>
    <w:p w:rsidR="005B312E" w:rsidRPr="000A3F81" w:rsidRDefault="000A3F81" w:rsidP="000A3F81">
      <w:pPr>
        <w:spacing w:line="360" w:lineRule="auto"/>
        <w:jc w:val="both"/>
        <w:rPr>
          <w:rFonts w:ascii="Book Antiqua" w:hAnsi="Book Antiqua"/>
          <w:color w:val="000000"/>
          <w:sz w:val="24"/>
          <w:szCs w:val="24"/>
        </w:rPr>
      </w:pPr>
      <w:r>
        <w:rPr>
          <w:rFonts w:ascii="Book Antiqua" w:hAnsi="Book Antiqua"/>
          <w:color w:val="000000"/>
          <w:sz w:val="24"/>
          <w:szCs w:val="24"/>
        </w:rPr>
        <w:t xml:space="preserve">The introduction of PPP on the Zambian construction market is a right step; however, there is a lack of high level engagement of political leaders with surveyors. While politicians may not be aware of the risk they pose to the PPP process, surveyors could do more in terms of selling their technical capabilities to the government in terms of technical evaluation of all political decisions on PPP. Such evaluation would enlighten the public about government commitment promoting value for money and safeguarding the public purse, now and beyond. </w:t>
      </w:r>
    </w:p>
    <w:p w:rsidR="005B312E" w:rsidRDefault="005B312E" w:rsidP="003E44C4">
      <w:pPr>
        <w:jc w:val="both"/>
        <w:rPr>
          <w:color w:val="000000"/>
          <w:sz w:val="17"/>
          <w:szCs w:val="17"/>
        </w:rPr>
      </w:pPr>
    </w:p>
    <w:p w:rsidR="00047C98" w:rsidRDefault="00047C98">
      <w:pPr>
        <w:rPr>
          <w:rFonts w:ascii="Book Antiqua" w:hAnsi="Book Antiqua"/>
        </w:rPr>
      </w:pPr>
      <w:r>
        <w:rPr>
          <w:rFonts w:ascii="Book Antiqua" w:hAnsi="Book Antiqua"/>
        </w:rPr>
        <w:br w:type="page"/>
      </w:r>
    </w:p>
    <w:p w:rsidR="00047C98" w:rsidRPr="008B01D2" w:rsidRDefault="00047C98" w:rsidP="008B01D2">
      <w:pPr>
        <w:pStyle w:val="Heading2"/>
        <w:jc w:val="both"/>
        <w:rPr>
          <w:rFonts w:ascii="Book Antiqua" w:hAnsi="Book Antiqua"/>
          <w:color w:val="auto"/>
          <w:sz w:val="28"/>
          <w:szCs w:val="28"/>
        </w:rPr>
      </w:pPr>
      <w:r w:rsidRPr="008B01D2">
        <w:rPr>
          <w:rFonts w:ascii="Book Antiqua" w:hAnsi="Book Antiqua"/>
          <w:color w:val="auto"/>
          <w:sz w:val="28"/>
          <w:szCs w:val="28"/>
        </w:rPr>
        <w:lastRenderedPageBreak/>
        <w:t>References</w:t>
      </w:r>
    </w:p>
    <w:p w:rsidR="005063C8" w:rsidRPr="005063C8" w:rsidRDefault="005063C8" w:rsidP="009505CC">
      <w:pPr>
        <w:autoSpaceDE w:val="0"/>
        <w:autoSpaceDN w:val="0"/>
        <w:adjustRightInd w:val="0"/>
        <w:ind w:left="851" w:hanging="851"/>
        <w:jc w:val="both"/>
        <w:rPr>
          <w:rFonts w:ascii="Book Antiqua" w:hAnsi="Book Antiqua"/>
          <w:sz w:val="24"/>
          <w:szCs w:val="24"/>
          <w:lang w:val="en-GB"/>
        </w:rPr>
      </w:pPr>
      <w:proofErr w:type="gramStart"/>
      <w:r w:rsidRPr="005063C8">
        <w:rPr>
          <w:rFonts w:ascii="Book Antiqua" w:hAnsi="Book Antiqua"/>
          <w:sz w:val="24"/>
          <w:szCs w:val="24"/>
          <w:lang w:val="en-GB"/>
        </w:rPr>
        <w:t>Akintoye, A., Beck, M., and Hardcastle, C.</w:t>
      </w:r>
      <w:proofErr w:type="gramEnd"/>
      <w:r w:rsidRPr="005063C8">
        <w:rPr>
          <w:rFonts w:ascii="Book Antiqua" w:hAnsi="Book Antiqua"/>
          <w:sz w:val="24"/>
          <w:szCs w:val="24"/>
          <w:lang w:val="en-GB"/>
        </w:rPr>
        <w:t xml:space="preserve">  (Eds.) (2003b) </w:t>
      </w:r>
      <w:r w:rsidRPr="005063C8">
        <w:rPr>
          <w:rFonts w:ascii="Book Antiqua" w:hAnsi="Book Antiqua"/>
          <w:i/>
          <w:sz w:val="24"/>
          <w:szCs w:val="24"/>
          <w:lang w:val="en-GB"/>
        </w:rPr>
        <w:t>Public Private Partnerships: managing Risks and Opportunities</w:t>
      </w:r>
      <w:r w:rsidRPr="005063C8">
        <w:rPr>
          <w:rFonts w:ascii="Book Antiqua" w:hAnsi="Book Antiqua"/>
          <w:sz w:val="24"/>
          <w:szCs w:val="24"/>
          <w:lang w:val="en-GB"/>
        </w:rPr>
        <w:t>, Blackwell: Oxford</w:t>
      </w:r>
    </w:p>
    <w:p w:rsidR="005063C8" w:rsidRPr="005063C8" w:rsidRDefault="005063C8" w:rsidP="00077F35">
      <w:pPr>
        <w:autoSpaceDE w:val="0"/>
        <w:autoSpaceDN w:val="0"/>
        <w:adjustRightInd w:val="0"/>
        <w:ind w:left="851" w:hanging="851"/>
        <w:jc w:val="both"/>
        <w:rPr>
          <w:rFonts w:ascii="Book Antiqua" w:hAnsi="Book Antiqua"/>
          <w:sz w:val="24"/>
          <w:szCs w:val="24"/>
        </w:rPr>
      </w:pPr>
      <w:r w:rsidRPr="005063C8">
        <w:rPr>
          <w:rFonts w:ascii="Book Antiqua" w:hAnsi="Book Antiqua"/>
          <w:iCs/>
          <w:sz w:val="24"/>
          <w:szCs w:val="24"/>
        </w:rPr>
        <w:t>Akintoye, A., </w:t>
      </w:r>
      <w:proofErr w:type="spellStart"/>
      <w:r w:rsidRPr="005063C8">
        <w:rPr>
          <w:rFonts w:ascii="Book Antiqua" w:hAnsi="Book Antiqua"/>
          <w:iCs/>
          <w:sz w:val="24"/>
          <w:szCs w:val="24"/>
        </w:rPr>
        <w:t>Hardcastle</w:t>
      </w:r>
      <w:proofErr w:type="spellEnd"/>
      <w:r w:rsidRPr="005063C8">
        <w:rPr>
          <w:rFonts w:ascii="Book Antiqua" w:hAnsi="Book Antiqua"/>
          <w:iCs/>
          <w:sz w:val="24"/>
          <w:szCs w:val="24"/>
        </w:rPr>
        <w:t>, C.</w:t>
      </w:r>
      <w:proofErr w:type="gramStart"/>
      <w:r w:rsidRPr="005063C8">
        <w:rPr>
          <w:rFonts w:ascii="Book Antiqua" w:hAnsi="Book Antiqua"/>
          <w:iCs/>
          <w:sz w:val="24"/>
          <w:szCs w:val="24"/>
        </w:rPr>
        <w:t>,  Beck</w:t>
      </w:r>
      <w:proofErr w:type="gramEnd"/>
      <w:r w:rsidRPr="005063C8">
        <w:rPr>
          <w:rFonts w:ascii="Book Antiqua" w:hAnsi="Book Antiqua"/>
          <w:iCs/>
          <w:sz w:val="24"/>
          <w:szCs w:val="24"/>
        </w:rPr>
        <w:t xml:space="preserve">. M., Chinyio, E.,and Asenova, D., </w:t>
      </w:r>
      <w:r w:rsidRPr="005063C8">
        <w:rPr>
          <w:rFonts w:ascii="Book Antiqua" w:hAnsi="Book Antiqua"/>
          <w:i/>
          <w:iCs/>
          <w:sz w:val="24"/>
          <w:szCs w:val="24"/>
        </w:rPr>
        <w:t xml:space="preserve"> </w:t>
      </w:r>
      <w:r w:rsidRPr="005063C8">
        <w:rPr>
          <w:rFonts w:ascii="Book Antiqua" w:hAnsi="Book Antiqua"/>
          <w:sz w:val="24"/>
          <w:szCs w:val="24"/>
        </w:rPr>
        <w:t>(2003) Achieving best value in private finance initiative project procurement, Construction Management and Economics, Vol. 21, pp 461-470.</w:t>
      </w:r>
    </w:p>
    <w:p w:rsidR="005063C8" w:rsidRPr="005063C8" w:rsidRDefault="005063C8" w:rsidP="00047C98">
      <w:pPr>
        <w:autoSpaceDE w:val="0"/>
        <w:autoSpaceDN w:val="0"/>
        <w:adjustRightInd w:val="0"/>
        <w:ind w:left="851" w:hanging="851"/>
        <w:jc w:val="both"/>
        <w:rPr>
          <w:rFonts w:ascii="Book Antiqua" w:hAnsi="Book Antiqua" w:cs="Times-Roman"/>
          <w:sz w:val="24"/>
          <w:szCs w:val="24"/>
        </w:rPr>
      </w:pPr>
      <w:proofErr w:type="spellStart"/>
      <w:r w:rsidRPr="005063C8">
        <w:rPr>
          <w:rFonts w:ascii="Book Antiqua" w:hAnsi="Book Antiqua" w:cs="Times-Bold"/>
          <w:bCs/>
          <w:sz w:val="24"/>
          <w:szCs w:val="24"/>
        </w:rPr>
        <w:t>Aven</w:t>
      </w:r>
      <w:proofErr w:type="spellEnd"/>
      <w:r w:rsidRPr="005063C8">
        <w:rPr>
          <w:rFonts w:ascii="Book Antiqua" w:hAnsi="Book Antiqua" w:cs="Times-Bold"/>
          <w:bCs/>
          <w:sz w:val="24"/>
          <w:szCs w:val="24"/>
        </w:rPr>
        <w:t xml:space="preserve">, T (2008) </w:t>
      </w:r>
      <w:r w:rsidRPr="005063C8">
        <w:rPr>
          <w:rFonts w:ascii="Book Antiqua" w:hAnsi="Book Antiqua" w:cs="Times-Roman"/>
          <w:sz w:val="24"/>
          <w:szCs w:val="24"/>
        </w:rPr>
        <w:t>Risk Analysis: Assessing Uncertainties beyond Expected Values and Probabilities, John Wiley &amp; Sons Ltd, West Sussex</w:t>
      </w:r>
    </w:p>
    <w:p w:rsidR="005063C8" w:rsidRPr="005063C8" w:rsidRDefault="005063C8" w:rsidP="00077F35">
      <w:pPr>
        <w:autoSpaceDE w:val="0"/>
        <w:autoSpaceDN w:val="0"/>
        <w:adjustRightInd w:val="0"/>
        <w:ind w:left="851" w:hanging="851"/>
        <w:jc w:val="both"/>
        <w:rPr>
          <w:rFonts w:ascii="Book Antiqua" w:hAnsi="Book Antiqua"/>
          <w:sz w:val="24"/>
          <w:szCs w:val="24"/>
        </w:rPr>
      </w:pPr>
      <w:r w:rsidRPr="005063C8">
        <w:rPr>
          <w:rFonts w:ascii="Book Antiqua" w:hAnsi="Book Antiqua"/>
          <w:sz w:val="24"/>
          <w:szCs w:val="24"/>
        </w:rPr>
        <w:t>Ball, R., and King, D., (2006) The Private Finance Initiative in Local Government, Economic Affairs, Vol. 26, Issue 1, pp36-40</w:t>
      </w:r>
    </w:p>
    <w:p w:rsidR="005063C8" w:rsidRPr="005063C8" w:rsidRDefault="005063C8" w:rsidP="00047C98">
      <w:pPr>
        <w:autoSpaceDE w:val="0"/>
        <w:autoSpaceDN w:val="0"/>
        <w:adjustRightInd w:val="0"/>
        <w:ind w:left="851" w:hanging="851"/>
        <w:jc w:val="both"/>
        <w:rPr>
          <w:rFonts w:ascii="Book Antiqua" w:hAnsi="Book Antiqua"/>
          <w:sz w:val="24"/>
          <w:szCs w:val="24"/>
        </w:rPr>
      </w:pPr>
      <w:r w:rsidRPr="005063C8">
        <w:rPr>
          <w:rFonts w:ascii="Book Antiqua" w:hAnsi="Book Antiqua"/>
          <w:sz w:val="24"/>
          <w:szCs w:val="24"/>
        </w:rPr>
        <w:t xml:space="preserve">Brook, M (2008) Estimating and Tendering for </w:t>
      </w:r>
      <w:proofErr w:type="gramStart"/>
      <w:r w:rsidRPr="005063C8">
        <w:rPr>
          <w:rFonts w:ascii="Book Antiqua" w:hAnsi="Book Antiqua"/>
          <w:sz w:val="24"/>
          <w:szCs w:val="24"/>
        </w:rPr>
        <w:t>Construction  Work</w:t>
      </w:r>
      <w:proofErr w:type="gramEnd"/>
      <w:r w:rsidRPr="005063C8">
        <w:rPr>
          <w:rFonts w:ascii="Book Antiqua" w:hAnsi="Book Antiqua"/>
          <w:sz w:val="24"/>
          <w:szCs w:val="24"/>
        </w:rPr>
        <w:t>, 4</w:t>
      </w:r>
      <w:r w:rsidRPr="005063C8">
        <w:rPr>
          <w:rFonts w:ascii="Book Antiqua" w:hAnsi="Book Antiqua"/>
          <w:sz w:val="24"/>
          <w:szCs w:val="24"/>
          <w:vertAlign w:val="superscript"/>
        </w:rPr>
        <w:t>th</w:t>
      </w:r>
      <w:r w:rsidRPr="005063C8">
        <w:rPr>
          <w:rFonts w:ascii="Book Antiqua" w:hAnsi="Book Antiqua"/>
          <w:sz w:val="24"/>
          <w:szCs w:val="24"/>
        </w:rPr>
        <w:t xml:space="preserve"> Edition, Butterworth-Heinemann Publishers, Oxford </w:t>
      </w:r>
    </w:p>
    <w:p w:rsidR="005063C8" w:rsidRPr="005063C8" w:rsidRDefault="005063C8" w:rsidP="00047C98">
      <w:pPr>
        <w:autoSpaceDE w:val="0"/>
        <w:autoSpaceDN w:val="0"/>
        <w:adjustRightInd w:val="0"/>
        <w:ind w:left="851" w:hanging="851"/>
        <w:jc w:val="both"/>
        <w:rPr>
          <w:rFonts w:ascii="Book Antiqua" w:hAnsi="Book Antiqua"/>
          <w:sz w:val="24"/>
          <w:szCs w:val="24"/>
          <w:lang w:val="en-GB"/>
        </w:rPr>
      </w:pPr>
      <w:r w:rsidRPr="005063C8">
        <w:rPr>
          <w:rFonts w:ascii="Book Antiqua" w:hAnsi="Book Antiqua"/>
          <w:sz w:val="24"/>
          <w:szCs w:val="24"/>
          <w:lang w:val="en-GB"/>
        </w:rPr>
        <w:t>BS 31100:2008 (2008) Risk Management Code of Practice, British Standards, UK</w:t>
      </w:r>
    </w:p>
    <w:p w:rsidR="005063C8" w:rsidRPr="005063C8" w:rsidRDefault="005063C8" w:rsidP="00047C98">
      <w:pPr>
        <w:autoSpaceDE w:val="0"/>
        <w:autoSpaceDN w:val="0"/>
        <w:adjustRightInd w:val="0"/>
        <w:ind w:left="851" w:hanging="851"/>
        <w:jc w:val="both"/>
        <w:rPr>
          <w:rFonts w:ascii="Book Antiqua" w:hAnsi="Book Antiqua"/>
          <w:sz w:val="24"/>
          <w:szCs w:val="24"/>
          <w:lang w:val="en-GB"/>
        </w:rPr>
      </w:pPr>
      <w:r w:rsidRPr="005063C8">
        <w:rPr>
          <w:rFonts w:ascii="Book Antiqua" w:hAnsi="Book Antiqua"/>
          <w:sz w:val="24"/>
          <w:szCs w:val="24"/>
          <w:lang w:val="en-GB"/>
        </w:rPr>
        <w:t xml:space="preserve">Committee of Public Accounts (2003) </w:t>
      </w:r>
      <w:r w:rsidRPr="005063C8">
        <w:rPr>
          <w:rFonts w:ascii="Book Antiqua" w:hAnsi="Book Antiqua"/>
          <w:i/>
          <w:sz w:val="24"/>
          <w:szCs w:val="24"/>
          <w:lang w:val="en-GB"/>
        </w:rPr>
        <w:t>PFI Refinancing Update</w:t>
      </w:r>
      <w:r w:rsidRPr="005063C8">
        <w:rPr>
          <w:rFonts w:ascii="Book Antiqua" w:hAnsi="Book Antiqua"/>
          <w:sz w:val="24"/>
          <w:szCs w:val="24"/>
          <w:lang w:val="en-GB"/>
        </w:rPr>
        <w:t>, House of Commons, UK</w:t>
      </w:r>
    </w:p>
    <w:p w:rsidR="005063C8" w:rsidRPr="005063C8" w:rsidRDefault="005063C8" w:rsidP="001F6024">
      <w:pPr>
        <w:autoSpaceDE w:val="0"/>
        <w:autoSpaceDN w:val="0"/>
        <w:adjustRightInd w:val="0"/>
        <w:ind w:left="851" w:hanging="851"/>
        <w:jc w:val="both"/>
        <w:rPr>
          <w:rFonts w:ascii="Book Antiqua" w:hAnsi="Book Antiqua"/>
          <w:sz w:val="24"/>
          <w:szCs w:val="24"/>
          <w:lang w:val="en-GB"/>
        </w:rPr>
      </w:pPr>
      <w:r w:rsidRPr="005063C8">
        <w:rPr>
          <w:rFonts w:ascii="Book Antiqua" w:hAnsi="Book Antiqua"/>
          <w:sz w:val="24"/>
          <w:szCs w:val="24"/>
          <w:lang w:val="en-GB"/>
        </w:rPr>
        <w:t xml:space="preserve">Department of Health (DH) (2004) </w:t>
      </w:r>
      <w:r w:rsidRPr="005063C8">
        <w:rPr>
          <w:rFonts w:ascii="Book Antiqua" w:hAnsi="Book Antiqua"/>
          <w:i/>
          <w:sz w:val="24"/>
          <w:szCs w:val="24"/>
          <w:lang w:val="en-GB"/>
        </w:rPr>
        <w:t>Public Finance Initiative (PFI) - PFI Guidance Generic Economic Model (GEM)</w:t>
      </w:r>
      <w:r w:rsidRPr="005063C8">
        <w:rPr>
          <w:rFonts w:ascii="Book Antiqua" w:hAnsi="Book Antiqua"/>
          <w:sz w:val="24"/>
          <w:szCs w:val="24"/>
          <w:lang w:val="en-GB"/>
        </w:rPr>
        <w:t xml:space="preserve">, Available from: </w:t>
      </w:r>
      <w:hyperlink r:id="rId10" w:history="1">
        <w:r w:rsidRPr="005063C8">
          <w:rPr>
            <w:rStyle w:val="Hyperlink"/>
            <w:rFonts w:ascii="Book Antiqua" w:hAnsi="Book Antiqua"/>
            <w:sz w:val="24"/>
            <w:szCs w:val="24"/>
            <w:lang w:val="en-GB"/>
          </w:rPr>
          <w:t>http://www.dh.gov.uk</w:t>
        </w:r>
      </w:hyperlink>
    </w:p>
    <w:p w:rsidR="005063C8" w:rsidRPr="005063C8" w:rsidRDefault="005063C8" w:rsidP="00047C98">
      <w:pPr>
        <w:autoSpaceDE w:val="0"/>
        <w:autoSpaceDN w:val="0"/>
        <w:adjustRightInd w:val="0"/>
        <w:ind w:left="851" w:hanging="851"/>
        <w:jc w:val="both"/>
        <w:rPr>
          <w:rFonts w:ascii="Book Antiqua" w:hAnsi="Book Antiqua"/>
          <w:sz w:val="24"/>
          <w:szCs w:val="24"/>
        </w:rPr>
      </w:pPr>
      <w:r w:rsidRPr="005063C8">
        <w:rPr>
          <w:rFonts w:ascii="Book Antiqua" w:hAnsi="Book Antiqua"/>
          <w:sz w:val="24"/>
          <w:szCs w:val="24"/>
        </w:rPr>
        <w:t>Flanagan, R., and Jewell, C., with Norman, G., (2005), Whole Life Appraisal for Construction, Blackwell Publishing, Oxford</w:t>
      </w:r>
    </w:p>
    <w:p w:rsidR="005063C8" w:rsidRPr="005063C8" w:rsidRDefault="005063C8" w:rsidP="00047C98">
      <w:pPr>
        <w:rPr>
          <w:rFonts w:ascii="Book Antiqua" w:hAnsi="Book Antiqua"/>
          <w:sz w:val="24"/>
          <w:szCs w:val="24"/>
        </w:rPr>
      </w:pPr>
      <w:r w:rsidRPr="005063C8">
        <w:rPr>
          <w:rFonts w:ascii="Book Antiqua" w:hAnsi="Book Antiqua"/>
          <w:sz w:val="24"/>
          <w:szCs w:val="24"/>
        </w:rPr>
        <w:t xml:space="preserve">GC (2005) Managing Successful Projects with PRINCE2, 2005 Edition, London: TSO, </w:t>
      </w:r>
    </w:p>
    <w:p w:rsidR="005063C8" w:rsidRPr="005063C8" w:rsidRDefault="005063C8" w:rsidP="000F116A">
      <w:pPr>
        <w:autoSpaceDE w:val="0"/>
        <w:autoSpaceDN w:val="0"/>
        <w:adjustRightInd w:val="0"/>
        <w:ind w:left="851" w:hanging="851"/>
        <w:jc w:val="both"/>
        <w:rPr>
          <w:rFonts w:ascii="Book Antiqua" w:hAnsi="Book Antiqua"/>
          <w:bCs/>
          <w:sz w:val="24"/>
          <w:szCs w:val="24"/>
        </w:rPr>
      </w:pPr>
      <w:proofErr w:type="spellStart"/>
      <w:r w:rsidRPr="005063C8">
        <w:rPr>
          <w:rFonts w:ascii="Book Antiqua" w:hAnsi="Book Antiqua"/>
          <w:bCs/>
          <w:sz w:val="24"/>
          <w:szCs w:val="24"/>
          <w:lang w:val="en-AU"/>
        </w:rPr>
        <w:t>Grimsey</w:t>
      </w:r>
      <w:proofErr w:type="spellEnd"/>
      <w:r w:rsidRPr="005063C8">
        <w:rPr>
          <w:rFonts w:ascii="Book Antiqua" w:hAnsi="Book Antiqua"/>
          <w:bCs/>
          <w:sz w:val="24"/>
          <w:szCs w:val="24"/>
          <w:lang w:val="en-AU"/>
        </w:rPr>
        <w:t xml:space="preserve">, D., and Lewis, K.M., (2005) </w:t>
      </w:r>
      <w:proofErr w:type="gramStart"/>
      <w:r w:rsidRPr="005063C8">
        <w:rPr>
          <w:rFonts w:ascii="Book Antiqua" w:hAnsi="Book Antiqua"/>
          <w:bCs/>
          <w:sz w:val="24"/>
          <w:szCs w:val="24"/>
          <w:lang w:val="en-AU"/>
        </w:rPr>
        <w:t>The</w:t>
      </w:r>
      <w:proofErr w:type="gramEnd"/>
      <w:r w:rsidRPr="005063C8">
        <w:rPr>
          <w:rFonts w:ascii="Book Antiqua" w:hAnsi="Book Antiqua"/>
          <w:bCs/>
          <w:sz w:val="24"/>
          <w:szCs w:val="24"/>
          <w:lang w:val="en-AU"/>
        </w:rPr>
        <w:t xml:space="preserve"> economics of public private partnerships, </w:t>
      </w:r>
      <w:r w:rsidRPr="005063C8">
        <w:rPr>
          <w:rFonts w:ascii="Book Antiqua" w:hAnsi="Book Antiqua"/>
          <w:bCs/>
          <w:sz w:val="24"/>
          <w:szCs w:val="24"/>
        </w:rPr>
        <w:t>Cheltenham: Edward Elgar</w:t>
      </w:r>
    </w:p>
    <w:p w:rsidR="005063C8" w:rsidRPr="005063C8" w:rsidRDefault="005063C8" w:rsidP="009505CC">
      <w:pPr>
        <w:autoSpaceDE w:val="0"/>
        <w:autoSpaceDN w:val="0"/>
        <w:adjustRightInd w:val="0"/>
        <w:ind w:left="851" w:hanging="851"/>
        <w:jc w:val="both"/>
        <w:rPr>
          <w:rFonts w:ascii="Book Antiqua" w:hAnsi="Book Antiqua"/>
          <w:sz w:val="24"/>
          <w:szCs w:val="24"/>
          <w:lang w:val="en-GB"/>
        </w:rPr>
      </w:pPr>
      <w:proofErr w:type="spellStart"/>
      <w:r w:rsidRPr="005063C8">
        <w:rPr>
          <w:rFonts w:ascii="Book Antiqua" w:hAnsi="Book Antiqua"/>
          <w:sz w:val="24"/>
          <w:szCs w:val="24"/>
          <w:lang w:val="en-GB"/>
        </w:rPr>
        <w:t>Henjewele</w:t>
      </w:r>
      <w:proofErr w:type="spellEnd"/>
      <w:r w:rsidRPr="005063C8">
        <w:rPr>
          <w:rFonts w:ascii="Book Antiqua" w:hAnsi="Book Antiqua"/>
          <w:sz w:val="24"/>
          <w:szCs w:val="24"/>
          <w:lang w:val="en-GB"/>
        </w:rPr>
        <w:t xml:space="preserve">, C. (2007) </w:t>
      </w:r>
      <w:r w:rsidRPr="005063C8">
        <w:rPr>
          <w:rFonts w:ascii="Book Antiqua" w:hAnsi="Book Antiqua"/>
          <w:i/>
          <w:sz w:val="24"/>
          <w:szCs w:val="24"/>
          <w:lang w:val="en-GB"/>
        </w:rPr>
        <w:t>Exportability of Private Finance Initiative to Developing Countries: The Case of Tanzania</w:t>
      </w:r>
      <w:r w:rsidRPr="005063C8">
        <w:rPr>
          <w:rFonts w:ascii="Book Antiqua" w:hAnsi="Book Antiqua"/>
          <w:sz w:val="24"/>
          <w:szCs w:val="24"/>
          <w:lang w:val="en-GB"/>
        </w:rPr>
        <w:t>. Unpublished MSc Dissertation, University of the West of England.</w:t>
      </w:r>
    </w:p>
    <w:p w:rsidR="005063C8" w:rsidRPr="005063C8" w:rsidRDefault="005063C8" w:rsidP="00807E75">
      <w:pPr>
        <w:autoSpaceDE w:val="0"/>
        <w:autoSpaceDN w:val="0"/>
        <w:adjustRightInd w:val="0"/>
        <w:ind w:left="851" w:hanging="851"/>
        <w:jc w:val="both"/>
        <w:rPr>
          <w:rFonts w:ascii="Book Antiqua" w:hAnsi="Book Antiqua"/>
          <w:sz w:val="24"/>
          <w:szCs w:val="24"/>
        </w:rPr>
      </w:pPr>
      <w:r w:rsidRPr="005063C8">
        <w:rPr>
          <w:rFonts w:ascii="Book Antiqua" w:hAnsi="Book Antiqua"/>
          <w:sz w:val="24"/>
          <w:szCs w:val="24"/>
        </w:rPr>
        <w:t xml:space="preserve">HM Treasury (2000) Public Private Partnerships: The Government’s Approach, </w:t>
      </w:r>
      <w:proofErr w:type="gramStart"/>
      <w:r w:rsidRPr="005063C8">
        <w:rPr>
          <w:rFonts w:ascii="Book Antiqua" w:hAnsi="Book Antiqua"/>
          <w:sz w:val="24"/>
          <w:szCs w:val="24"/>
        </w:rPr>
        <w:t>The</w:t>
      </w:r>
      <w:proofErr w:type="gramEnd"/>
      <w:r w:rsidRPr="005063C8">
        <w:rPr>
          <w:rFonts w:ascii="Book Antiqua" w:hAnsi="Book Antiqua"/>
          <w:sz w:val="24"/>
          <w:szCs w:val="24"/>
        </w:rPr>
        <w:t xml:space="preserve"> Stationary Office, London</w:t>
      </w:r>
    </w:p>
    <w:p w:rsidR="005063C8" w:rsidRPr="005063C8" w:rsidRDefault="005063C8" w:rsidP="00047C98">
      <w:pPr>
        <w:autoSpaceDE w:val="0"/>
        <w:autoSpaceDN w:val="0"/>
        <w:adjustRightInd w:val="0"/>
        <w:ind w:left="851" w:hanging="851"/>
        <w:jc w:val="both"/>
        <w:rPr>
          <w:rFonts w:ascii="Book Antiqua" w:hAnsi="Book Antiqua"/>
          <w:sz w:val="24"/>
          <w:szCs w:val="24"/>
        </w:rPr>
      </w:pPr>
      <w:r w:rsidRPr="005063C8">
        <w:rPr>
          <w:rFonts w:ascii="Book Antiqua" w:hAnsi="Book Antiqua"/>
          <w:sz w:val="24"/>
          <w:szCs w:val="24"/>
        </w:rPr>
        <w:t xml:space="preserve">HSE (2010) Risk Assessment </w:t>
      </w:r>
      <w:hyperlink r:id="rId11" w:history="1">
        <w:r w:rsidRPr="005063C8">
          <w:rPr>
            <w:rStyle w:val="Hyperlink"/>
            <w:rFonts w:ascii="Book Antiqua" w:hAnsi="Book Antiqua"/>
            <w:color w:val="auto"/>
            <w:sz w:val="24"/>
            <w:szCs w:val="24"/>
          </w:rPr>
          <w:t>http://www.hse.gov.uk/risk/assessment.htm</w:t>
        </w:r>
      </w:hyperlink>
      <w:r w:rsidRPr="005063C8">
        <w:rPr>
          <w:rFonts w:ascii="Book Antiqua" w:hAnsi="Book Antiqua"/>
          <w:sz w:val="24"/>
          <w:szCs w:val="24"/>
        </w:rPr>
        <w:t xml:space="preserve"> &lt;on 18th February 2010&gt;</w:t>
      </w:r>
    </w:p>
    <w:p w:rsidR="005063C8" w:rsidRPr="005063C8" w:rsidRDefault="005063C8" w:rsidP="00047C98">
      <w:pPr>
        <w:autoSpaceDE w:val="0"/>
        <w:autoSpaceDN w:val="0"/>
        <w:adjustRightInd w:val="0"/>
        <w:ind w:left="851" w:hanging="851"/>
        <w:jc w:val="both"/>
        <w:rPr>
          <w:rFonts w:ascii="Book Antiqua" w:hAnsi="Book Antiqua"/>
          <w:sz w:val="24"/>
          <w:szCs w:val="24"/>
        </w:rPr>
      </w:pPr>
      <w:proofErr w:type="spellStart"/>
      <w:r w:rsidRPr="005063C8">
        <w:rPr>
          <w:rFonts w:ascii="Book Antiqua" w:hAnsi="Book Antiqua"/>
          <w:sz w:val="24"/>
          <w:szCs w:val="24"/>
        </w:rPr>
        <w:t>IDeA</w:t>
      </w:r>
      <w:proofErr w:type="spellEnd"/>
      <w:r w:rsidRPr="005063C8">
        <w:rPr>
          <w:rFonts w:ascii="Book Antiqua" w:hAnsi="Book Antiqua"/>
          <w:sz w:val="24"/>
          <w:szCs w:val="24"/>
        </w:rPr>
        <w:t xml:space="preserve">: Improvement and Development Agency for local government (2010) Legal requirements: equality and procurement law, </w:t>
      </w:r>
      <w:hyperlink r:id="rId12" w:history="1">
        <w:r w:rsidRPr="005063C8">
          <w:rPr>
            <w:rStyle w:val="Hyperlink"/>
            <w:rFonts w:ascii="Book Antiqua" w:hAnsi="Book Antiqua"/>
            <w:color w:val="auto"/>
            <w:sz w:val="24"/>
            <w:szCs w:val="24"/>
          </w:rPr>
          <w:t>http://www.idea.gov.uk/idk/core/page.do?pageId=10608281</w:t>
        </w:r>
      </w:hyperlink>
      <w:r w:rsidRPr="005063C8">
        <w:rPr>
          <w:rFonts w:ascii="Book Antiqua" w:hAnsi="Book Antiqua"/>
          <w:sz w:val="24"/>
          <w:szCs w:val="24"/>
        </w:rPr>
        <w:t xml:space="preserve"> &lt;on 20</w:t>
      </w:r>
      <w:r w:rsidRPr="005063C8">
        <w:rPr>
          <w:rFonts w:ascii="Book Antiqua" w:hAnsi="Book Antiqua"/>
          <w:sz w:val="24"/>
          <w:szCs w:val="24"/>
          <w:vertAlign w:val="superscript"/>
        </w:rPr>
        <w:t>th</w:t>
      </w:r>
      <w:r w:rsidRPr="005063C8">
        <w:rPr>
          <w:rFonts w:ascii="Book Antiqua" w:hAnsi="Book Antiqua"/>
          <w:sz w:val="24"/>
          <w:szCs w:val="24"/>
        </w:rPr>
        <w:t xml:space="preserve"> February 2010)</w:t>
      </w:r>
    </w:p>
    <w:p w:rsidR="005063C8" w:rsidRPr="005063C8" w:rsidRDefault="005063C8" w:rsidP="00047C98">
      <w:pPr>
        <w:autoSpaceDE w:val="0"/>
        <w:autoSpaceDN w:val="0"/>
        <w:adjustRightInd w:val="0"/>
        <w:ind w:left="851" w:hanging="851"/>
        <w:jc w:val="both"/>
        <w:rPr>
          <w:rFonts w:ascii="Book Antiqua" w:hAnsi="Book Antiqua"/>
          <w:sz w:val="24"/>
          <w:szCs w:val="24"/>
        </w:rPr>
      </w:pPr>
      <w:proofErr w:type="spellStart"/>
      <w:r w:rsidRPr="005063C8">
        <w:rPr>
          <w:rFonts w:ascii="Book Antiqua" w:hAnsi="Book Antiqua"/>
          <w:sz w:val="24"/>
          <w:szCs w:val="24"/>
        </w:rPr>
        <w:t>Knoppen</w:t>
      </w:r>
      <w:proofErr w:type="spellEnd"/>
      <w:r w:rsidRPr="005063C8">
        <w:rPr>
          <w:rFonts w:ascii="Book Antiqua" w:hAnsi="Book Antiqua"/>
          <w:sz w:val="24"/>
          <w:szCs w:val="24"/>
        </w:rPr>
        <w:t>, D., and Christiaanse, E., (2007) Inter-organisational adaptation in supply chains: a behavioral perspective, The International Journal of Logistics Management, Vol. 18 No. 2, 2007, pp. 217-237</w:t>
      </w:r>
    </w:p>
    <w:p w:rsidR="005063C8" w:rsidRPr="005063C8" w:rsidRDefault="005063C8" w:rsidP="00047C98">
      <w:pPr>
        <w:autoSpaceDE w:val="0"/>
        <w:autoSpaceDN w:val="0"/>
        <w:adjustRightInd w:val="0"/>
        <w:ind w:left="851" w:hanging="851"/>
        <w:jc w:val="both"/>
        <w:rPr>
          <w:rFonts w:ascii="Book Antiqua" w:hAnsi="Book Antiqua"/>
          <w:sz w:val="24"/>
          <w:szCs w:val="24"/>
        </w:rPr>
      </w:pPr>
      <w:r w:rsidRPr="005063C8">
        <w:rPr>
          <w:rFonts w:ascii="Book Antiqua" w:hAnsi="Book Antiqua"/>
          <w:sz w:val="24"/>
          <w:szCs w:val="24"/>
        </w:rPr>
        <w:t>Local Government Task Force (2003) Rethinking Construction: A Guide to Standard Forms of Contract outlining key characteristics and components, UK</w:t>
      </w:r>
    </w:p>
    <w:p w:rsidR="005063C8" w:rsidRPr="005063C8" w:rsidRDefault="005063C8" w:rsidP="00807E75">
      <w:pPr>
        <w:autoSpaceDE w:val="0"/>
        <w:autoSpaceDN w:val="0"/>
        <w:adjustRightInd w:val="0"/>
        <w:ind w:left="851" w:hanging="851"/>
        <w:jc w:val="both"/>
        <w:rPr>
          <w:rFonts w:ascii="Book Antiqua" w:hAnsi="Book Antiqua"/>
          <w:sz w:val="24"/>
          <w:szCs w:val="24"/>
        </w:rPr>
      </w:pPr>
      <w:proofErr w:type="spellStart"/>
      <w:r w:rsidRPr="005063C8">
        <w:rPr>
          <w:rFonts w:ascii="Book Antiqua" w:hAnsi="Book Antiqua"/>
          <w:sz w:val="24"/>
          <w:szCs w:val="24"/>
        </w:rPr>
        <w:t>Mukela</w:t>
      </w:r>
      <w:proofErr w:type="spellEnd"/>
      <w:r w:rsidRPr="005063C8">
        <w:rPr>
          <w:rFonts w:ascii="Book Antiqua" w:hAnsi="Book Antiqua"/>
          <w:sz w:val="24"/>
          <w:szCs w:val="24"/>
        </w:rPr>
        <w:t>, M.M., (2006</w:t>
      </w:r>
      <w:proofErr w:type="gramStart"/>
      <w:r w:rsidRPr="005063C8">
        <w:rPr>
          <w:rFonts w:ascii="Book Antiqua" w:hAnsi="Book Antiqua"/>
          <w:sz w:val="24"/>
          <w:szCs w:val="24"/>
        </w:rPr>
        <w:t>)  ‘The</w:t>
      </w:r>
      <w:proofErr w:type="gramEnd"/>
      <w:r w:rsidRPr="005063C8">
        <w:rPr>
          <w:rFonts w:ascii="Book Antiqua" w:hAnsi="Book Antiqua"/>
          <w:sz w:val="24"/>
          <w:szCs w:val="24"/>
        </w:rPr>
        <w:t xml:space="preserve"> ‘Significant Other’ A Case Of Public Private Partnerships In Zambia: Lessons Learned in the Infrastructure Reform Process, National Council for Construction, Zambia  </w:t>
      </w:r>
    </w:p>
    <w:p w:rsidR="005063C8" w:rsidRPr="005063C8" w:rsidRDefault="005063C8" w:rsidP="00266302">
      <w:pPr>
        <w:autoSpaceDE w:val="0"/>
        <w:autoSpaceDN w:val="0"/>
        <w:adjustRightInd w:val="0"/>
        <w:ind w:left="851" w:hanging="851"/>
        <w:jc w:val="both"/>
        <w:rPr>
          <w:rFonts w:ascii="Book Antiqua" w:hAnsi="Book Antiqua"/>
          <w:sz w:val="24"/>
          <w:szCs w:val="24"/>
          <w:lang w:val="en-GB"/>
        </w:rPr>
      </w:pPr>
      <w:r w:rsidRPr="005063C8">
        <w:rPr>
          <w:rFonts w:ascii="Book Antiqua" w:hAnsi="Book Antiqua"/>
          <w:sz w:val="24"/>
          <w:szCs w:val="24"/>
          <w:lang w:val="en-GB"/>
        </w:rPr>
        <w:t xml:space="preserve">National Audit Commission (2000) </w:t>
      </w:r>
      <w:r w:rsidRPr="005063C8">
        <w:rPr>
          <w:rFonts w:ascii="Book Antiqua" w:hAnsi="Book Antiqua"/>
          <w:i/>
          <w:sz w:val="24"/>
          <w:szCs w:val="24"/>
          <w:lang w:val="en-GB"/>
        </w:rPr>
        <w:t>Refinancing PFI Projects</w:t>
      </w:r>
      <w:r w:rsidRPr="005063C8">
        <w:rPr>
          <w:rFonts w:ascii="Book Antiqua" w:hAnsi="Book Antiqua"/>
          <w:sz w:val="24"/>
          <w:szCs w:val="24"/>
          <w:lang w:val="en-GB"/>
        </w:rPr>
        <w:t>, UK</w:t>
      </w:r>
    </w:p>
    <w:p w:rsidR="005063C8" w:rsidRPr="005063C8" w:rsidRDefault="005063C8" w:rsidP="00266302">
      <w:pPr>
        <w:autoSpaceDE w:val="0"/>
        <w:autoSpaceDN w:val="0"/>
        <w:adjustRightInd w:val="0"/>
        <w:ind w:left="851" w:hanging="851"/>
        <w:jc w:val="both"/>
        <w:rPr>
          <w:rFonts w:ascii="Book Antiqua" w:hAnsi="Book Antiqua"/>
          <w:sz w:val="24"/>
          <w:szCs w:val="24"/>
          <w:lang w:val="en-GB"/>
        </w:rPr>
      </w:pPr>
      <w:r w:rsidRPr="005063C8">
        <w:rPr>
          <w:rFonts w:ascii="Book Antiqua" w:hAnsi="Book Antiqua"/>
          <w:sz w:val="24"/>
          <w:szCs w:val="24"/>
          <w:lang w:val="en-GB"/>
        </w:rPr>
        <w:t xml:space="preserve">National Roads Authority (NRA) (2001) Public Private Partnerships: Going Place, Available from: </w:t>
      </w:r>
      <w:hyperlink r:id="rId13" w:history="1">
        <w:r w:rsidRPr="005063C8">
          <w:rPr>
            <w:rStyle w:val="Hyperlink"/>
            <w:rFonts w:ascii="Book Antiqua" w:hAnsi="Book Antiqua"/>
            <w:sz w:val="24"/>
            <w:szCs w:val="24"/>
            <w:lang w:val="en-GB"/>
          </w:rPr>
          <w:t>http://www.nra.ie/PublicPrivatePartnership/</w:t>
        </w:r>
      </w:hyperlink>
      <w:r w:rsidRPr="005063C8">
        <w:rPr>
          <w:rFonts w:ascii="Book Antiqua" w:hAnsi="Book Antiqua"/>
          <w:sz w:val="24"/>
          <w:szCs w:val="24"/>
          <w:lang w:val="en-GB"/>
        </w:rPr>
        <w:t xml:space="preserve">  [Accessed on: 5th April, 2011]</w:t>
      </w:r>
    </w:p>
    <w:p w:rsidR="005063C8" w:rsidRPr="005063C8" w:rsidRDefault="005063C8" w:rsidP="001F6024">
      <w:pPr>
        <w:autoSpaceDE w:val="0"/>
        <w:autoSpaceDN w:val="0"/>
        <w:adjustRightInd w:val="0"/>
        <w:ind w:left="851" w:hanging="851"/>
        <w:jc w:val="both"/>
        <w:rPr>
          <w:rFonts w:ascii="Book Antiqua" w:hAnsi="Book Antiqua"/>
          <w:sz w:val="24"/>
          <w:szCs w:val="24"/>
          <w:lang w:val="en-GB"/>
        </w:rPr>
      </w:pPr>
      <w:proofErr w:type="spellStart"/>
      <w:r w:rsidRPr="005063C8">
        <w:rPr>
          <w:rFonts w:ascii="Book Antiqua" w:hAnsi="Book Antiqua"/>
          <w:sz w:val="24"/>
          <w:szCs w:val="24"/>
          <w:lang w:val="en-GB"/>
        </w:rPr>
        <w:t>Pollitt</w:t>
      </w:r>
      <w:proofErr w:type="spellEnd"/>
      <w:r w:rsidRPr="005063C8">
        <w:rPr>
          <w:rFonts w:ascii="Book Antiqua" w:hAnsi="Book Antiqua"/>
          <w:sz w:val="24"/>
          <w:szCs w:val="24"/>
          <w:lang w:val="en-GB"/>
        </w:rPr>
        <w:t xml:space="preserve">, M. G. (2000) The </w:t>
      </w:r>
      <w:r w:rsidRPr="005063C8">
        <w:rPr>
          <w:rFonts w:ascii="Book Antiqua" w:hAnsi="Book Antiqua"/>
          <w:i/>
          <w:sz w:val="24"/>
          <w:szCs w:val="24"/>
          <w:lang w:val="en-GB"/>
        </w:rPr>
        <w:t>Declining Role of the State in Infrastructure Investments in the UK,</w:t>
      </w:r>
      <w:r w:rsidRPr="005063C8">
        <w:rPr>
          <w:rFonts w:ascii="Book Antiqua" w:hAnsi="Book Antiqua"/>
          <w:sz w:val="24"/>
          <w:szCs w:val="24"/>
          <w:lang w:val="en-GB"/>
        </w:rPr>
        <w:t xml:space="preserve"> Judge Institute of Management Studies, University of Cambridge, Cambridge.</w:t>
      </w:r>
    </w:p>
    <w:p w:rsidR="005063C8" w:rsidRPr="005063C8" w:rsidRDefault="005063C8" w:rsidP="00047C98">
      <w:pPr>
        <w:rPr>
          <w:rFonts w:ascii="Book Antiqua" w:hAnsi="Book Antiqua"/>
          <w:sz w:val="24"/>
          <w:szCs w:val="24"/>
        </w:rPr>
      </w:pPr>
      <w:r w:rsidRPr="005063C8">
        <w:rPr>
          <w:rFonts w:ascii="Book Antiqua" w:hAnsi="Book Antiqua"/>
          <w:sz w:val="24"/>
          <w:szCs w:val="24"/>
        </w:rPr>
        <w:t xml:space="preserve">Royal Institution of Chartered Surveyors (2000), Contracts in Use: A Survey of Building Contracts in Use </w:t>
      </w:r>
      <w:proofErr w:type="gramStart"/>
      <w:r w:rsidRPr="005063C8">
        <w:rPr>
          <w:rFonts w:ascii="Book Antiqua" w:hAnsi="Book Antiqua"/>
          <w:sz w:val="24"/>
          <w:szCs w:val="24"/>
        </w:rPr>
        <w:t>During</w:t>
      </w:r>
      <w:proofErr w:type="gramEnd"/>
      <w:r w:rsidRPr="005063C8">
        <w:rPr>
          <w:rFonts w:ascii="Book Antiqua" w:hAnsi="Book Antiqua"/>
          <w:sz w:val="24"/>
          <w:szCs w:val="24"/>
        </w:rPr>
        <w:t xml:space="preserve"> 1998, RICS, Coventry, London</w:t>
      </w:r>
    </w:p>
    <w:p w:rsidR="005063C8" w:rsidRPr="005063C8" w:rsidRDefault="005063C8" w:rsidP="00E76584">
      <w:pPr>
        <w:autoSpaceDE w:val="0"/>
        <w:autoSpaceDN w:val="0"/>
        <w:adjustRightInd w:val="0"/>
        <w:ind w:left="851" w:hanging="851"/>
        <w:jc w:val="both"/>
        <w:rPr>
          <w:rFonts w:ascii="Book Antiqua" w:hAnsi="Book Antiqua"/>
          <w:sz w:val="24"/>
          <w:szCs w:val="24"/>
        </w:rPr>
      </w:pPr>
      <w:r w:rsidRPr="005063C8">
        <w:rPr>
          <w:rFonts w:ascii="Book Antiqua" w:hAnsi="Book Antiqua"/>
          <w:sz w:val="24"/>
          <w:szCs w:val="24"/>
        </w:rPr>
        <w:t xml:space="preserve">The Joint Contracts Tribunal (2009) </w:t>
      </w:r>
      <w:proofErr w:type="gramStart"/>
      <w:r w:rsidRPr="005063C8">
        <w:rPr>
          <w:rFonts w:ascii="Book Antiqua" w:hAnsi="Book Antiqua"/>
          <w:sz w:val="24"/>
          <w:szCs w:val="24"/>
        </w:rPr>
        <w:t>The</w:t>
      </w:r>
      <w:proofErr w:type="gramEnd"/>
      <w:r w:rsidRPr="005063C8">
        <w:rPr>
          <w:rFonts w:ascii="Book Antiqua" w:hAnsi="Book Antiqua"/>
          <w:sz w:val="24"/>
          <w:szCs w:val="24"/>
        </w:rPr>
        <w:t xml:space="preserve"> guide to selecting an appropriate contract, </w:t>
      </w:r>
      <w:hyperlink r:id="rId14" w:history="1">
        <w:r w:rsidRPr="005063C8">
          <w:rPr>
            <w:rStyle w:val="Hyperlink"/>
            <w:rFonts w:ascii="Book Antiqua" w:hAnsi="Book Antiqua"/>
            <w:color w:val="auto"/>
            <w:sz w:val="24"/>
            <w:szCs w:val="24"/>
          </w:rPr>
          <w:t>http://www.jctcontracts.com/JCT/pdf/Guide_to_selecting_the_appropriate_JCT_sub-contract_August_2009.pdf</w:t>
        </w:r>
      </w:hyperlink>
      <w:r w:rsidRPr="005063C8">
        <w:rPr>
          <w:rFonts w:ascii="Book Antiqua" w:hAnsi="Book Antiqua"/>
          <w:sz w:val="24"/>
          <w:szCs w:val="24"/>
        </w:rPr>
        <w:t xml:space="preserve"> &lt;on 16th February, 2010)</w:t>
      </w:r>
    </w:p>
    <w:sectPr w:rsidR="005063C8" w:rsidRPr="005063C8" w:rsidSect="005265F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宋体">
    <w:charset w:val="50"/>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19F" w:csb1="00000000"/>
  </w:font>
  <w:font w:name="Times-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21F2C"/>
    <w:multiLevelType w:val="hybridMultilevel"/>
    <w:tmpl w:val="485A1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66118F"/>
    <w:multiLevelType w:val="hybridMultilevel"/>
    <w:tmpl w:val="9D02E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EA7D69"/>
    <w:multiLevelType w:val="multilevel"/>
    <w:tmpl w:val="05EC9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024199"/>
    <w:multiLevelType w:val="multilevel"/>
    <w:tmpl w:val="CD0003FE"/>
    <w:lvl w:ilvl="0">
      <w:start w:val="1"/>
      <w:numFmt w:val="upperRoman"/>
      <w:lvlText w:val="%1."/>
      <w:lvlJc w:val="right"/>
      <w:pPr>
        <w:ind w:left="360" w:hanging="360"/>
      </w:pPr>
    </w:lvl>
    <w:lvl w:ilvl="1">
      <w:start w:val="1"/>
      <w:numFmt w:val="decimal"/>
      <w:isLgl/>
      <w:lvlText w:val="%1.%2"/>
      <w:lvlJc w:val="left"/>
      <w:pPr>
        <w:ind w:left="1080" w:hanging="720"/>
      </w:pPr>
      <w:rPr>
        <w:rFonts w:ascii="Arial" w:hAnsi="Arial" w:cs="Arial" w:hint="default"/>
        <w:i/>
        <w:sz w:val="28"/>
        <w:szCs w:val="28"/>
      </w:rPr>
    </w:lvl>
    <w:lvl w:ilvl="2">
      <w:start w:val="1"/>
      <w:numFmt w:val="decimal"/>
      <w:isLgl/>
      <w:lvlText w:val="%1.%2.%3"/>
      <w:lvlJc w:val="left"/>
      <w:pPr>
        <w:ind w:left="1080" w:hanging="720"/>
      </w:pPr>
      <w:rPr>
        <w:rFonts w:ascii="Arial" w:hAnsi="Arial" w:cs="Arial" w:hint="default"/>
        <w:i w:val="0"/>
        <w:sz w:val="26"/>
        <w:szCs w:val="26"/>
      </w:rPr>
    </w:lvl>
    <w:lvl w:ilvl="3">
      <w:start w:val="1"/>
      <w:numFmt w:val="decimal"/>
      <w:isLgl/>
      <w:lvlText w:val="%1.%2.%3.%4"/>
      <w:lvlJc w:val="left"/>
      <w:pPr>
        <w:ind w:left="1440" w:hanging="1080"/>
      </w:pPr>
      <w:rPr>
        <w:rFonts w:ascii="Times New Roman" w:hAnsi="Times New Roman" w:cs="Times New Roman" w:hint="default"/>
        <w:i w:val="0"/>
        <w:sz w:val="24"/>
      </w:rPr>
    </w:lvl>
    <w:lvl w:ilvl="4">
      <w:start w:val="1"/>
      <w:numFmt w:val="decimal"/>
      <w:isLgl/>
      <w:lvlText w:val="%1.%2.%3.%4.%5"/>
      <w:lvlJc w:val="left"/>
      <w:pPr>
        <w:ind w:left="1800" w:hanging="1440"/>
      </w:pPr>
      <w:rPr>
        <w:rFonts w:ascii="Times New Roman" w:hAnsi="Times New Roman" w:cs="Times New Roman" w:hint="default"/>
        <w:i w:val="0"/>
        <w:sz w:val="24"/>
      </w:rPr>
    </w:lvl>
    <w:lvl w:ilvl="5">
      <w:start w:val="1"/>
      <w:numFmt w:val="decimal"/>
      <w:isLgl/>
      <w:lvlText w:val="%1.%2.%3.%4.%5.%6"/>
      <w:lvlJc w:val="left"/>
      <w:pPr>
        <w:ind w:left="1800" w:hanging="1440"/>
      </w:pPr>
      <w:rPr>
        <w:rFonts w:ascii="Times New Roman" w:hAnsi="Times New Roman" w:cs="Times New Roman" w:hint="default"/>
        <w:i w:val="0"/>
        <w:sz w:val="24"/>
      </w:rPr>
    </w:lvl>
    <w:lvl w:ilvl="6">
      <w:start w:val="1"/>
      <w:numFmt w:val="decimal"/>
      <w:isLgl/>
      <w:lvlText w:val="%1.%2.%3.%4.%5.%6.%7"/>
      <w:lvlJc w:val="left"/>
      <w:pPr>
        <w:ind w:left="2160" w:hanging="1800"/>
      </w:pPr>
      <w:rPr>
        <w:rFonts w:ascii="Times New Roman" w:hAnsi="Times New Roman" w:cs="Times New Roman" w:hint="default"/>
        <w:i w:val="0"/>
        <w:sz w:val="24"/>
      </w:rPr>
    </w:lvl>
    <w:lvl w:ilvl="7">
      <w:start w:val="1"/>
      <w:numFmt w:val="decimal"/>
      <w:isLgl/>
      <w:lvlText w:val="%1.%2.%3.%4.%5.%6.%7.%8"/>
      <w:lvlJc w:val="left"/>
      <w:pPr>
        <w:ind w:left="2160" w:hanging="1800"/>
      </w:pPr>
      <w:rPr>
        <w:rFonts w:ascii="Times New Roman" w:hAnsi="Times New Roman" w:cs="Times New Roman" w:hint="default"/>
        <w:i w:val="0"/>
        <w:sz w:val="24"/>
      </w:rPr>
    </w:lvl>
    <w:lvl w:ilvl="8">
      <w:start w:val="1"/>
      <w:numFmt w:val="decimal"/>
      <w:isLgl/>
      <w:lvlText w:val="%1.%2.%3.%4.%5.%6.%7.%8.%9"/>
      <w:lvlJc w:val="left"/>
      <w:pPr>
        <w:ind w:left="2520" w:hanging="2160"/>
      </w:pPr>
      <w:rPr>
        <w:rFonts w:ascii="Times New Roman" w:hAnsi="Times New Roman" w:cs="Times New Roman" w:hint="default"/>
        <w:i w:val="0"/>
        <w:sz w:val="24"/>
      </w:rPr>
    </w:lvl>
  </w:abstractNum>
  <w:abstractNum w:abstractNumId="4">
    <w:nsid w:val="339F0CCA"/>
    <w:multiLevelType w:val="hybridMultilevel"/>
    <w:tmpl w:val="CA4673A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6D9B1939"/>
    <w:multiLevelType w:val="multilevel"/>
    <w:tmpl w:val="7C0AF0C4"/>
    <w:lvl w:ilvl="0">
      <w:start w:val="1"/>
      <w:numFmt w:val="decimal"/>
      <w:lvlText w:val="%1.0"/>
      <w:lvlJc w:val="left"/>
      <w:pPr>
        <w:tabs>
          <w:tab w:val="num" w:pos="1440"/>
        </w:tabs>
        <w:ind w:left="1440" w:hanging="1440"/>
      </w:pPr>
      <w:rPr>
        <w:b/>
        <w:i w:val="0"/>
        <w:sz w:val="24"/>
        <w:u w:val="none"/>
      </w:rPr>
    </w:lvl>
    <w:lvl w:ilvl="1">
      <w:start w:val="1"/>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rPr>
        <w:u w:val="none"/>
      </w:rPr>
    </w:lvl>
    <w:lvl w:ilvl="3">
      <w:start w:val="1"/>
      <w:numFmt w:val="decimal"/>
      <w:lvlText w:val="%1.%2.%3.%4"/>
      <w:lvlJc w:val="left"/>
      <w:pPr>
        <w:tabs>
          <w:tab w:val="num" w:pos="1440"/>
        </w:tabs>
        <w:ind w:left="1440" w:hanging="1440"/>
      </w:pPr>
      <w:rPr>
        <w:rFonts w:ascii="Arial" w:hAnsi="Arial" w:hint="default"/>
        <w:b/>
        <w:i w:val="0"/>
        <w:sz w:val="24"/>
        <w:u w:val="no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3"/>
  </w:num>
  <w:num w:numId="15">
    <w:abstractNumId w:val="5"/>
  </w:num>
  <w:num w:numId="16">
    <w:abstractNumId w:val="5"/>
  </w:num>
  <w:num w:numId="17">
    <w:abstractNumId w:val="5"/>
  </w:num>
  <w:num w:numId="18">
    <w:abstractNumId w:val="5"/>
  </w:num>
  <w:num w:numId="19">
    <w:abstractNumId w:val="5"/>
  </w:num>
  <w:num w:numId="20">
    <w:abstractNumId w:val="3"/>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2"/>
  </w:num>
  <w:num w:numId="3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compat/>
  <w:rsids>
    <w:rsidRoot w:val="003E44C4"/>
    <w:rsid w:val="000133BE"/>
    <w:rsid w:val="000142B0"/>
    <w:rsid w:val="00040E2F"/>
    <w:rsid w:val="00047C98"/>
    <w:rsid w:val="00053D08"/>
    <w:rsid w:val="00077F35"/>
    <w:rsid w:val="000A3F81"/>
    <w:rsid w:val="000C4BC1"/>
    <w:rsid w:val="000C6D21"/>
    <w:rsid w:val="000D0138"/>
    <w:rsid w:val="000F116A"/>
    <w:rsid w:val="000F43E8"/>
    <w:rsid w:val="000F7D16"/>
    <w:rsid w:val="00103D5D"/>
    <w:rsid w:val="00105160"/>
    <w:rsid w:val="00131A5C"/>
    <w:rsid w:val="00132B4E"/>
    <w:rsid w:val="0013518D"/>
    <w:rsid w:val="00136815"/>
    <w:rsid w:val="00136A4B"/>
    <w:rsid w:val="00140810"/>
    <w:rsid w:val="00143998"/>
    <w:rsid w:val="00156211"/>
    <w:rsid w:val="00163E12"/>
    <w:rsid w:val="00176161"/>
    <w:rsid w:val="00177C8E"/>
    <w:rsid w:val="001B4C19"/>
    <w:rsid w:val="001F13AA"/>
    <w:rsid w:val="001F6024"/>
    <w:rsid w:val="00235941"/>
    <w:rsid w:val="00251511"/>
    <w:rsid w:val="00266302"/>
    <w:rsid w:val="00266E9E"/>
    <w:rsid w:val="0028098D"/>
    <w:rsid w:val="002C72D8"/>
    <w:rsid w:val="002F3316"/>
    <w:rsid w:val="003D105A"/>
    <w:rsid w:val="003E44C4"/>
    <w:rsid w:val="003E62EF"/>
    <w:rsid w:val="003F0D28"/>
    <w:rsid w:val="0041646D"/>
    <w:rsid w:val="00422084"/>
    <w:rsid w:val="00432B20"/>
    <w:rsid w:val="00435EFB"/>
    <w:rsid w:val="00455F0B"/>
    <w:rsid w:val="0048113C"/>
    <w:rsid w:val="00490C03"/>
    <w:rsid w:val="004B4E88"/>
    <w:rsid w:val="004D7A94"/>
    <w:rsid w:val="004E4985"/>
    <w:rsid w:val="004F4B8F"/>
    <w:rsid w:val="004F5DD1"/>
    <w:rsid w:val="005063C8"/>
    <w:rsid w:val="0051412A"/>
    <w:rsid w:val="0052030E"/>
    <w:rsid w:val="005265F6"/>
    <w:rsid w:val="0054167A"/>
    <w:rsid w:val="00541D0A"/>
    <w:rsid w:val="005871EB"/>
    <w:rsid w:val="005A4EFC"/>
    <w:rsid w:val="005B296B"/>
    <w:rsid w:val="005B312E"/>
    <w:rsid w:val="005C3CA3"/>
    <w:rsid w:val="005E46A4"/>
    <w:rsid w:val="006559D7"/>
    <w:rsid w:val="006649E5"/>
    <w:rsid w:val="00667E0C"/>
    <w:rsid w:val="00671DB2"/>
    <w:rsid w:val="006754B7"/>
    <w:rsid w:val="00683166"/>
    <w:rsid w:val="00691311"/>
    <w:rsid w:val="006938EA"/>
    <w:rsid w:val="006978F3"/>
    <w:rsid w:val="006A7B5D"/>
    <w:rsid w:val="006B5673"/>
    <w:rsid w:val="006C7D95"/>
    <w:rsid w:val="006D486A"/>
    <w:rsid w:val="006D5BB1"/>
    <w:rsid w:val="006E362B"/>
    <w:rsid w:val="00716E9B"/>
    <w:rsid w:val="00720A37"/>
    <w:rsid w:val="007412C4"/>
    <w:rsid w:val="0078618B"/>
    <w:rsid w:val="007B6E74"/>
    <w:rsid w:val="007C7260"/>
    <w:rsid w:val="007D7857"/>
    <w:rsid w:val="00807E75"/>
    <w:rsid w:val="00813D61"/>
    <w:rsid w:val="008158F1"/>
    <w:rsid w:val="00834B1E"/>
    <w:rsid w:val="00835CBA"/>
    <w:rsid w:val="00880C46"/>
    <w:rsid w:val="00881EA3"/>
    <w:rsid w:val="008B01D2"/>
    <w:rsid w:val="008B47E3"/>
    <w:rsid w:val="008C692D"/>
    <w:rsid w:val="008F1E37"/>
    <w:rsid w:val="0090601F"/>
    <w:rsid w:val="009505CC"/>
    <w:rsid w:val="00954580"/>
    <w:rsid w:val="00972159"/>
    <w:rsid w:val="009B4B5D"/>
    <w:rsid w:val="00A22923"/>
    <w:rsid w:val="00A320F4"/>
    <w:rsid w:val="00A70319"/>
    <w:rsid w:val="00A76F43"/>
    <w:rsid w:val="00A8657E"/>
    <w:rsid w:val="00AA35A4"/>
    <w:rsid w:val="00AA467C"/>
    <w:rsid w:val="00AB1BB5"/>
    <w:rsid w:val="00AC2ED9"/>
    <w:rsid w:val="00AD119F"/>
    <w:rsid w:val="00AE55E6"/>
    <w:rsid w:val="00AF52AD"/>
    <w:rsid w:val="00B43FC2"/>
    <w:rsid w:val="00B6181B"/>
    <w:rsid w:val="00B95B45"/>
    <w:rsid w:val="00B963C2"/>
    <w:rsid w:val="00BC4A4E"/>
    <w:rsid w:val="00BF3EE8"/>
    <w:rsid w:val="00C275CF"/>
    <w:rsid w:val="00C44BE6"/>
    <w:rsid w:val="00C53493"/>
    <w:rsid w:val="00C65462"/>
    <w:rsid w:val="00C72F22"/>
    <w:rsid w:val="00C7505C"/>
    <w:rsid w:val="00CA678F"/>
    <w:rsid w:val="00CD337F"/>
    <w:rsid w:val="00CE1DA8"/>
    <w:rsid w:val="00D132B3"/>
    <w:rsid w:val="00D34B07"/>
    <w:rsid w:val="00D51168"/>
    <w:rsid w:val="00D6673A"/>
    <w:rsid w:val="00D942BC"/>
    <w:rsid w:val="00DC7437"/>
    <w:rsid w:val="00DD5B4D"/>
    <w:rsid w:val="00DE216B"/>
    <w:rsid w:val="00DE23A5"/>
    <w:rsid w:val="00DE4BF9"/>
    <w:rsid w:val="00E10984"/>
    <w:rsid w:val="00E267F7"/>
    <w:rsid w:val="00E3534E"/>
    <w:rsid w:val="00E466C9"/>
    <w:rsid w:val="00E76584"/>
    <w:rsid w:val="00E8501C"/>
    <w:rsid w:val="00E93041"/>
    <w:rsid w:val="00F033AB"/>
    <w:rsid w:val="00F25700"/>
    <w:rsid w:val="00F52A88"/>
    <w:rsid w:val="00F61272"/>
    <w:rsid w:val="00F62CC3"/>
    <w:rsid w:val="00F632CE"/>
    <w:rsid w:val="00F8237B"/>
    <w:rsid w:val="00FA49C0"/>
    <w:rsid w:val="00FB4208"/>
    <w:rsid w:val="00FF78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2B0"/>
  </w:style>
  <w:style w:type="paragraph" w:styleId="Heading1">
    <w:name w:val="heading 1"/>
    <w:basedOn w:val="Normal"/>
    <w:next w:val="Normal"/>
    <w:link w:val="Heading1Char"/>
    <w:uiPriority w:val="9"/>
    <w:qFormat/>
    <w:rsid w:val="000142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2B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142B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142B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142B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142B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142B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142B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142B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2B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2B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142B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142B0"/>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unhideWhenUsed/>
    <w:qFormat/>
    <w:rsid w:val="000142B0"/>
    <w:pPr>
      <w:spacing w:line="240" w:lineRule="auto"/>
    </w:pPr>
    <w:rPr>
      <w:b/>
      <w:bCs/>
      <w:color w:val="4F81BD" w:themeColor="accent1"/>
      <w:sz w:val="18"/>
      <w:szCs w:val="18"/>
    </w:rPr>
  </w:style>
  <w:style w:type="character" w:styleId="Strong">
    <w:name w:val="Strong"/>
    <w:basedOn w:val="DefaultParagraphFont"/>
    <w:uiPriority w:val="22"/>
    <w:qFormat/>
    <w:rsid w:val="000142B0"/>
    <w:rPr>
      <w:b/>
      <w:bCs/>
    </w:rPr>
  </w:style>
  <w:style w:type="paragraph" w:styleId="ListParagraph">
    <w:name w:val="List Paragraph"/>
    <w:basedOn w:val="Normal"/>
    <w:uiPriority w:val="34"/>
    <w:qFormat/>
    <w:rsid w:val="000142B0"/>
    <w:pPr>
      <w:ind w:left="720"/>
      <w:contextualSpacing/>
    </w:pPr>
  </w:style>
  <w:style w:type="paragraph" w:styleId="TOCHeading">
    <w:name w:val="TOC Heading"/>
    <w:basedOn w:val="Heading1"/>
    <w:next w:val="Normal"/>
    <w:uiPriority w:val="39"/>
    <w:semiHidden/>
    <w:unhideWhenUsed/>
    <w:qFormat/>
    <w:rsid w:val="000142B0"/>
    <w:pPr>
      <w:outlineLvl w:val="9"/>
    </w:pPr>
  </w:style>
  <w:style w:type="paragraph" w:customStyle="1" w:styleId="Style1">
    <w:name w:val="Style1"/>
    <w:basedOn w:val="Heading2"/>
    <w:link w:val="Style1Char"/>
    <w:rsid w:val="000142B0"/>
    <w:pPr>
      <w:spacing w:before="240" w:after="60"/>
    </w:pPr>
    <w:rPr>
      <w:bCs w:val="0"/>
      <w:iCs/>
      <w:szCs w:val="28"/>
      <w:lang w:eastAsia="en-GB"/>
    </w:rPr>
  </w:style>
  <w:style w:type="paragraph" w:customStyle="1" w:styleId="Style2">
    <w:name w:val="Style2"/>
    <w:basedOn w:val="Heading3"/>
    <w:link w:val="Style2Char"/>
    <w:rsid w:val="000142B0"/>
    <w:pPr>
      <w:spacing w:before="240" w:after="60"/>
    </w:pPr>
    <w:rPr>
      <w:bCs w:val="0"/>
      <w:i/>
      <w:caps/>
      <w:sz w:val="26"/>
      <w:szCs w:val="26"/>
    </w:rPr>
  </w:style>
  <w:style w:type="character" w:customStyle="1" w:styleId="Style1Char">
    <w:name w:val="Style1 Char"/>
    <w:basedOn w:val="Heading2Char"/>
    <w:link w:val="Style1"/>
    <w:rsid w:val="000142B0"/>
    <w:rPr>
      <w:rFonts w:asciiTheme="majorHAnsi" w:eastAsiaTheme="majorEastAsia" w:hAnsiTheme="majorHAnsi" w:cstheme="majorBidi"/>
      <w:b/>
      <w:bCs/>
      <w:i/>
      <w:iCs/>
      <w:caps/>
      <w:szCs w:val="28"/>
      <w:lang w:eastAsia="en-GB"/>
    </w:rPr>
  </w:style>
  <w:style w:type="character" w:customStyle="1" w:styleId="Style2Char">
    <w:name w:val="Style2 Char"/>
    <w:basedOn w:val="Heading2Char"/>
    <w:link w:val="Style2"/>
    <w:rsid w:val="000142B0"/>
    <w:rPr>
      <w:rFonts w:asciiTheme="majorHAnsi" w:eastAsiaTheme="majorEastAsia" w:hAnsiTheme="majorHAnsi" w:cstheme="majorBidi"/>
      <w:b/>
      <w:bCs/>
      <w:i/>
      <w:caps/>
      <w:sz w:val="26"/>
      <w:szCs w:val="26"/>
      <w:lang w:eastAsia="en-US"/>
    </w:rPr>
  </w:style>
  <w:style w:type="character" w:customStyle="1" w:styleId="Heading5Char">
    <w:name w:val="Heading 5 Char"/>
    <w:basedOn w:val="DefaultParagraphFont"/>
    <w:link w:val="Heading5"/>
    <w:uiPriority w:val="9"/>
    <w:rsid w:val="000142B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0142B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0142B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142B0"/>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0142B0"/>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0142B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142B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142B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142B0"/>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0142B0"/>
    <w:rPr>
      <w:i/>
      <w:iCs/>
    </w:rPr>
  </w:style>
  <w:style w:type="paragraph" w:styleId="NoSpacing">
    <w:name w:val="No Spacing"/>
    <w:uiPriority w:val="1"/>
    <w:qFormat/>
    <w:rsid w:val="000142B0"/>
    <w:pPr>
      <w:spacing w:after="0" w:line="240" w:lineRule="auto"/>
    </w:pPr>
  </w:style>
  <w:style w:type="paragraph" w:styleId="Quote">
    <w:name w:val="Quote"/>
    <w:basedOn w:val="Normal"/>
    <w:next w:val="Normal"/>
    <w:link w:val="QuoteChar"/>
    <w:uiPriority w:val="29"/>
    <w:qFormat/>
    <w:rsid w:val="000142B0"/>
    <w:rPr>
      <w:i/>
      <w:iCs/>
      <w:color w:val="000000" w:themeColor="text1"/>
    </w:rPr>
  </w:style>
  <w:style w:type="character" w:customStyle="1" w:styleId="QuoteChar">
    <w:name w:val="Quote Char"/>
    <w:basedOn w:val="DefaultParagraphFont"/>
    <w:link w:val="Quote"/>
    <w:uiPriority w:val="29"/>
    <w:rsid w:val="000142B0"/>
    <w:rPr>
      <w:i/>
      <w:iCs/>
      <w:color w:val="000000" w:themeColor="text1"/>
    </w:rPr>
  </w:style>
  <w:style w:type="paragraph" w:styleId="IntenseQuote">
    <w:name w:val="Intense Quote"/>
    <w:basedOn w:val="Normal"/>
    <w:next w:val="Normal"/>
    <w:link w:val="IntenseQuoteChar"/>
    <w:uiPriority w:val="30"/>
    <w:qFormat/>
    <w:rsid w:val="000142B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142B0"/>
    <w:rPr>
      <w:b/>
      <w:bCs/>
      <w:i/>
      <w:iCs/>
      <w:color w:val="4F81BD" w:themeColor="accent1"/>
    </w:rPr>
  </w:style>
  <w:style w:type="character" w:styleId="SubtleEmphasis">
    <w:name w:val="Subtle Emphasis"/>
    <w:basedOn w:val="DefaultParagraphFont"/>
    <w:uiPriority w:val="19"/>
    <w:qFormat/>
    <w:rsid w:val="000142B0"/>
    <w:rPr>
      <w:i/>
      <w:iCs/>
      <w:color w:val="808080" w:themeColor="text1" w:themeTint="7F"/>
    </w:rPr>
  </w:style>
  <w:style w:type="character" w:styleId="IntenseEmphasis">
    <w:name w:val="Intense Emphasis"/>
    <w:basedOn w:val="DefaultParagraphFont"/>
    <w:uiPriority w:val="21"/>
    <w:qFormat/>
    <w:rsid w:val="000142B0"/>
    <w:rPr>
      <w:b/>
      <w:bCs/>
      <w:i/>
      <w:iCs/>
      <w:color w:val="4F81BD" w:themeColor="accent1"/>
    </w:rPr>
  </w:style>
  <w:style w:type="character" w:styleId="SubtleReference">
    <w:name w:val="Subtle Reference"/>
    <w:basedOn w:val="DefaultParagraphFont"/>
    <w:uiPriority w:val="31"/>
    <w:qFormat/>
    <w:rsid w:val="000142B0"/>
    <w:rPr>
      <w:smallCaps/>
      <w:color w:val="C0504D" w:themeColor="accent2"/>
      <w:u w:val="single"/>
    </w:rPr>
  </w:style>
  <w:style w:type="character" w:styleId="IntenseReference">
    <w:name w:val="Intense Reference"/>
    <w:basedOn w:val="DefaultParagraphFont"/>
    <w:uiPriority w:val="32"/>
    <w:qFormat/>
    <w:rsid w:val="000142B0"/>
    <w:rPr>
      <w:b/>
      <w:bCs/>
      <w:smallCaps/>
      <w:color w:val="C0504D" w:themeColor="accent2"/>
      <w:spacing w:val="5"/>
      <w:u w:val="single"/>
    </w:rPr>
  </w:style>
  <w:style w:type="character" w:styleId="BookTitle">
    <w:name w:val="Book Title"/>
    <w:basedOn w:val="DefaultParagraphFont"/>
    <w:uiPriority w:val="33"/>
    <w:qFormat/>
    <w:rsid w:val="000142B0"/>
    <w:rPr>
      <w:b/>
      <w:bCs/>
      <w:smallCaps/>
      <w:spacing w:val="5"/>
    </w:rPr>
  </w:style>
  <w:style w:type="character" w:customStyle="1" w:styleId="yshortcuts">
    <w:name w:val="yshortcuts"/>
    <w:basedOn w:val="DefaultParagraphFont"/>
    <w:rsid w:val="003E44C4"/>
  </w:style>
  <w:style w:type="character" w:styleId="Hyperlink">
    <w:name w:val="Hyperlink"/>
    <w:basedOn w:val="DefaultParagraphFont"/>
    <w:rsid w:val="007412C4"/>
    <w:rPr>
      <w:color w:val="0000FF"/>
      <w:u w:val="single"/>
    </w:rPr>
  </w:style>
  <w:style w:type="paragraph" w:styleId="BalloonText">
    <w:name w:val="Balloon Text"/>
    <w:basedOn w:val="Normal"/>
    <w:link w:val="BalloonTextChar"/>
    <w:uiPriority w:val="99"/>
    <w:semiHidden/>
    <w:unhideWhenUsed/>
    <w:rsid w:val="00835C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CBA"/>
    <w:rPr>
      <w:rFonts w:ascii="Tahoma" w:hAnsi="Tahoma" w:cs="Tahoma"/>
      <w:sz w:val="16"/>
      <w:szCs w:val="16"/>
    </w:rPr>
  </w:style>
  <w:style w:type="paragraph" w:styleId="BodyText">
    <w:name w:val="Body Text"/>
    <w:basedOn w:val="Normal"/>
    <w:link w:val="BodyTextChar"/>
    <w:unhideWhenUsed/>
    <w:rsid w:val="00813D61"/>
    <w:pPr>
      <w:spacing w:after="120" w:line="240" w:lineRule="auto"/>
    </w:pPr>
    <w:rPr>
      <w:rFonts w:ascii="Arial" w:eastAsia="SimSun" w:hAnsi="Arial" w:cs="Arial"/>
      <w:bCs/>
      <w:kern w:val="32"/>
      <w:lang w:val="en-GB" w:eastAsia="zh-CN" w:bidi="th-TH"/>
    </w:rPr>
  </w:style>
  <w:style w:type="character" w:customStyle="1" w:styleId="BodyTextChar">
    <w:name w:val="Body Text Char"/>
    <w:basedOn w:val="DefaultParagraphFont"/>
    <w:link w:val="BodyText"/>
    <w:rsid w:val="00813D61"/>
    <w:rPr>
      <w:rFonts w:ascii="Arial" w:eastAsia="SimSun" w:hAnsi="Arial" w:cs="Arial"/>
      <w:bCs/>
      <w:kern w:val="32"/>
      <w:lang w:val="en-GB" w:eastAsia="zh-CN" w:bidi="th-TH"/>
    </w:rPr>
  </w:style>
  <w:style w:type="table" w:styleId="TableGrid">
    <w:name w:val="Table Grid"/>
    <w:basedOn w:val="TableNormal"/>
    <w:rsid w:val="00813D61"/>
    <w:pPr>
      <w:spacing w:after="0" w:line="240" w:lineRule="auto"/>
    </w:pPr>
    <w:rPr>
      <w:lang w:val="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81EA3"/>
    <w:rPr>
      <w:sz w:val="16"/>
      <w:szCs w:val="16"/>
    </w:rPr>
  </w:style>
  <w:style w:type="paragraph" w:styleId="CommentText">
    <w:name w:val="annotation text"/>
    <w:basedOn w:val="Normal"/>
    <w:link w:val="CommentTextChar"/>
    <w:uiPriority w:val="99"/>
    <w:semiHidden/>
    <w:unhideWhenUsed/>
    <w:rsid w:val="00881EA3"/>
    <w:pPr>
      <w:spacing w:line="240" w:lineRule="auto"/>
    </w:pPr>
    <w:rPr>
      <w:sz w:val="20"/>
      <w:szCs w:val="20"/>
    </w:rPr>
  </w:style>
  <w:style w:type="character" w:customStyle="1" w:styleId="CommentTextChar">
    <w:name w:val="Comment Text Char"/>
    <w:basedOn w:val="DefaultParagraphFont"/>
    <w:link w:val="CommentText"/>
    <w:uiPriority w:val="99"/>
    <w:semiHidden/>
    <w:rsid w:val="00881EA3"/>
    <w:rPr>
      <w:sz w:val="20"/>
      <w:szCs w:val="20"/>
    </w:rPr>
  </w:style>
  <w:style w:type="paragraph" w:styleId="CommentSubject">
    <w:name w:val="annotation subject"/>
    <w:basedOn w:val="CommentText"/>
    <w:next w:val="CommentText"/>
    <w:link w:val="CommentSubjectChar"/>
    <w:uiPriority w:val="99"/>
    <w:semiHidden/>
    <w:unhideWhenUsed/>
    <w:rsid w:val="00881EA3"/>
    <w:rPr>
      <w:b/>
      <w:bCs/>
    </w:rPr>
  </w:style>
  <w:style w:type="character" w:customStyle="1" w:styleId="CommentSubjectChar">
    <w:name w:val="Comment Subject Char"/>
    <w:basedOn w:val="CommentTextChar"/>
    <w:link w:val="CommentSubject"/>
    <w:uiPriority w:val="99"/>
    <w:semiHidden/>
    <w:rsid w:val="00881EA3"/>
    <w:rPr>
      <w:b/>
      <w:bCs/>
    </w:rPr>
  </w:style>
  <w:style w:type="character" w:customStyle="1" w:styleId="shorttext">
    <w:name w:val="short_text"/>
    <w:basedOn w:val="DefaultParagraphFont"/>
    <w:rsid w:val="000C6D21"/>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350568132">
      <w:bodyDiv w:val="1"/>
      <w:marLeft w:val="0"/>
      <w:marRight w:val="0"/>
      <w:marTop w:val="0"/>
      <w:marBottom w:val="0"/>
      <w:divBdr>
        <w:top w:val="none" w:sz="0" w:space="0" w:color="auto"/>
        <w:left w:val="none" w:sz="0" w:space="0" w:color="auto"/>
        <w:bottom w:val="none" w:sz="0" w:space="0" w:color="auto"/>
        <w:right w:val="none" w:sz="0" w:space="0" w:color="auto"/>
      </w:divBdr>
      <w:divsChild>
        <w:div w:id="210503701">
          <w:marLeft w:val="0"/>
          <w:marRight w:val="0"/>
          <w:marTop w:val="0"/>
          <w:marBottom w:val="0"/>
          <w:divBdr>
            <w:top w:val="none" w:sz="0" w:space="0" w:color="auto"/>
            <w:left w:val="none" w:sz="0" w:space="0" w:color="auto"/>
            <w:bottom w:val="none" w:sz="0" w:space="0" w:color="auto"/>
            <w:right w:val="none" w:sz="0" w:space="0" w:color="auto"/>
          </w:divBdr>
          <w:divsChild>
            <w:div w:id="1478106194">
              <w:marLeft w:val="0"/>
              <w:marRight w:val="0"/>
              <w:marTop w:val="0"/>
              <w:marBottom w:val="0"/>
              <w:divBdr>
                <w:top w:val="none" w:sz="0" w:space="0" w:color="auto"/>
                <w:left w:val="none" w:sz="0" w:space="0" w:color="auto"/>
                <w:bottom w:val="none" w:sz="0" w:space="0" w:color="auto"/>
                <w:right w:val="none" w:sz="0" w:space="0" w:color="auto"/>
              </w:divBdr>
              <w:divsChild>
                <w:div w:id="1703675233">
                  <w:marLeft w:val="0"/>
                  <w:marRight w:val="0"/>
                  <w:marTop w:val="0"/>
                  <w:marBottom w:val="0"/>
                  <w:divBdr>
                    <w:top w:val="none" w:sz="0" w:space="0" w:color="auto"/>
                    <w:left w:val="none" w:sz="0" w:space="0" w:color="auto"/>
                    <w:bottom w:val="none" w:sz="0" w:space="0" w:color="auto"/>
                    <w:right w:val="none" w:sz="0" w:space="0" w:color="auto"/>
                  </w:divBdr>
                  <w:divsChild>
                    <w:div w:id="1973556898">
                      <w:marLeft w:val="0"/>
                      <w:marRight w:val="0"/>
                      <w:marTop w:val="0"/>
                      <w:marBottom w:val="0"/>
                      <w:divBdr>
                        <w:top w:val="none" w:sz="0" w:space="0" w:color="auto"/>
                        <w:left w:val="none" w:sz="0" w:space="0" w:color="auto"/>
                        <w:bottom w:val="none" w:sz="0" w:space="0" w:color="auto"/>
                        <w:right w:val="none" w:sz="0" w:space="0" w:color="auto"/>
                      </w:divBdr>
                      <w:divsChild>
                        <w:div w:id="1781485503">
                          <w:marLeft w:val="0"/>
                          <w:marRight w:val="0"/>
                          <w:marTop w:val="0"/>
                          <w:marBottom w:val="0"/>
                          <w:divBdr>
                            <w:top w:val="none" w:sz="0" w:space="0" w:color="auto"/>
                            <w:left w:val="none" w:sz="0" w:space="0" w:color="auto"/>
                            <w:bottom w:val="none" w:sz="0" w:space="0" w:color="auto"/>
                            <w:right w:val="none" w:sz="0" w:space="0" w:color="auto"/>
                          </w:divBdr>
                          <w:divsChild>
                            <w:div w:id="712849471">
                              <w:marLeft w:val="0"/>
                              <w:marRight w:val="0"/>
                              <w:marTop w:val="0"/>
                              <w:marBottom w:val="0"/>
                              <w:divBdr>
                                <w:top w:val="none" w:sz="0" w:space="0" w:color="auto"/>
                                <w:left w:val="none" w:sz="0" w:space="0" w:color="auto"/>
                                <w:bottom w:val="none" w:sz="0" w:space="0" w:color="auto"/>
                                <w:right w:val="none" w:sz="0" w:space="0" w:color="auto"/>
                              </w:divBdr>
                              <w:divsChild>
                                <w:div w:id="166816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801720">
      <w:bodyDiv w:val="1"/>
      <w:marLeft w:val="-480"/>
      <w:marRight w:val="0"/>
      <w:marTop w:val="0"/>
      <w:marBottom w:val="0"/>
      <w:divBdr>
        <w:top w:val="none" w:sz="0" w:space="0" w:color="auto"/>
        <w:left w:val="none" w:sz="0" w:space="0" w:color="auto"/>
        <w:bottom w:val="none" w:sz="0" w:space="0" w:color="auto"/>
        <w:right w:val="none" w:sz="0" w:space="0" w:color="auto"/>
      </w:divBdr>
      <w:divsChild>
        <w:div w:id="1699815333">
          <w:marLeft w:val="0"/>
          <w:marRight w:val="0"/>
          <w:marTop w:val="0"/>
          <w:marBottom w:val="0"/>
          <w:divBdr>
            <w:top w:val="none" w:sz="0" w:space="0" w:color="auto"/>
            <w:left w:val="none" w:sz="0" w:space="0" w:color="auto"/>
            <w:bottom w:val="none" w:sz="0" w:space="0" w:color="auto"/>
            <w:right w:val="none" w:sz="0" w:space="0" w:color="auto"/>
          </w:divBdr>
          <w:divsChild>
            <w:div w:id="1558249474">
              <w:marLeft w:val="0"/>
              <w:marRight w:val="0"/>
              <w:marTop w:val="0"/>
              <w:marBottom w:val="0"/>
              <w:divBdr>
                <w:top w:val="none" w:sz="0" w:space="0" w:color="auto"/>
                <w:left w:val="none" w:sz="0" w:space="0" w:color="auto"/>
                <w:bottom w:val="none" w:sz="0" w:space="0" w:color="auto"/>
                <w:right w:val="none" w:sz="0" w:space="0" w:color="auto"/>
              </w:divBdr>
              <w:divsChild>
                <w:div w:id="640039766">
                  <w:marLeft w:val="0"/>
                  <w:marRight w:val="0"/>
                  <w:marTop w:val="0"/>
                  <w:marBottom w:val="240"/>
                  <w:divBdr>
                    <w:top w:val="none" w:sz="0" w:space="0" w:color="auto"/>
                    <w:left w:val="none" w:sz="0" w:space="0" w:color="auto"/>
                    <w:bottom w:val="none" w:sz="0" w:space="0" w:color="auto"/>
                    <w:right w:val="none" w:sz="0" w:space="0" w:color="auto"/>
                  </w:divBdr>
                  <w:divsChild>
                    <w:div w:id="993602717">
                      <w:marLeft w:val="0"/>
                      <w:marRight w:val="0"/>
                      <w:marTop w:val="0"/>
                      <w:marBottom w:val="0"/>
                      <w:divBdr>
                        <w:top w:val="none" w:sz="0" w:space="0" w:color="auto"/>
                        <w:left w:val="none" w:sz="0" w:space="0" w:color="auto"/>
                        <w:bottom w:val="none" w:sz="0" w:space="0" w:color="auto"/>
                        <w:right w:val="none" w:sz="0" w:space="0" w:color="auto"/>
                      </w:divBdr>
                      <w:divsChild>
                        <w:div w:id="326831286">
                          <w:marLeft w:val="0"/>
                          <w:marRight w:val="0"/>
                          <w:marTop w:val="0"/>
                          <w:marBottom w:val="240"/>
                          <w:divBdr>
                            <w:top w:val="none" w:sz="0" w:space="0" w:color="auto"/>
                            <w:left w:val="none" w:sz="0" w:space="0" w:color="auto"/>
                            <w:bottom w:val="none" w:sz="0" w:space="0" w:color="auto"/>
                            <w:right w:val="none" w:sz="0" w:space="0" w:color="auto"/>
                          </w:divBdr>
                          <w:divsChild>
                            <w:div w:id="1231840934">
                              <w:marLeft w:val="0"/>
                              <w:marRight w:val="0"/>
                              <w:marTop w:val="0"/>
                              <w:marBottom w:val="0"/>
                              <w:divBdr>
                                <w:top w:val="none" w:sz="0" w:space="0" w:color="auto"/>
                                <w:left w:val="none" w:sz="0" w:space="0" w:color="auto"/>
                                <w:bottom w:val="none" w:sz="0" w:space="0" w:color="auto"/>
                                <w:right w:val="none" w:sz="0" w:space="0" w:color="auto"/>
                              </w:divBdr>
                              <w:divsChild>
                                <w:div w:id="900141238">
                                  <w:marLeft w:val="0"/>
                                  <w:marRight w:val="0"/>
                                  <w:marTop w:val="0"/>
                                  <w:marBottom w:val="0"/>
                                  <w:divBdr>
                                    <w:top w:val="single" w:sz="18" w:space="6" w:color="E1E9EB"/>
                                    <w:left w:val="none" w:sz="0" w:space="0" w:color="auto"/>
                                    <w:bottom w:val="none" w:sz="0" w:space="0" w:color="auto"/>
                                    <w:right w:val="none" w:sz="0" w:space="0" w:color="auto"/>
                                  </w:divBdr>
                                </w:div>
                                <w:div w:id="74137417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926540">
      <w:bodyDiv w:val="1"/>
      <w:marLeft w:val="0"/>
      <w:marRight w:val="0"/>
      <w:marTop w:val="0"/>
      <w:marBottom w:val="0"/>
      <w:divBdr>
        <w:top w:val="none" w:sz="0" w:space="0" w:color="auto"/>
        <w:left w:val="none" w:sz="0" w:space="0" w:color="auto"/>
        <w:bottom w:val="none" w:sz="0" w:space="0" w:color="auto"/>
        <w:right w:val="none" w:sz="0" w:space="0" w:color="auto"/>
      </w:divBdr>
    </w:div>
    <w:div w:id="1473056167">
      <w:bodyDiv w:val="1"/>
      <w:marLeft w:val="0"/>
      <w:marRight w:val="0"/>
      <w:marTop w:val="0"/>
      <w:marBottom w:val="0"/>
      <w:divBdr>
        <w:top w:val="none" w:sz="0" w:space="0" w:color="auto"/>
        <w:left w:val="none" w:sz="0" w:space="0" w:color="auto"/>
        <w:bottom w:val="none" w:sz="0" w:space="0" w:color="auto"/>
        <w:right w:val="none" w:sz="0" w:space="0" w:color="auto"/>
      </w:divBdr>
      <w:divsChild>
        <w:div w:id="1221403963">
          <w:marLeft w:val="0"/>
          <w:marRight w:val="0"/>
          <w:marTop w:val="0"/>
          <w:marBottom w:val="0"/>
          <w:divBdr>
            <w:top w:val="none" w:sz="0" w:space="0" w:color="auto"/>
            <w:left w:val="none" w:sz="0" w:space="0" w:color="auto"/>
            <w:bottom w:val="none" w:sz="0" w:space="0" w:color="auto"/>
            <w:right w:val="none" w:sz="0" w:space="0" w:color="auto"/>
          </w:divBdr>
          <w:divsChild>
            <w:div w:id="1601639978">
              <w:marLeft w:val="0"/>
              <w:marRight w:val="0"/>
              <w:marTop w:val="0"/>
              <w:marBottom w:val="0"/>
              <w:divBdr>
                <w:top w:val="none" w:sz="0" w:space="0" w:color="auto"/>
                <w:left w:val="none" w:sz="0" w:space="0" w:color="auto"/>
                <w:bottom w:val="none" w:sz="0" w:space="0" w:color="auto"/>
                <w:right w:val="none" w:sz="0" w:space="0" w:color="auto"/>
              </w:divBdr>
              <w:divsChild>
                <w:div w:id="1668554703">
                  <w:marLeft w:val="0"/>
                  <w:marRight w:val="0"/>
                  <w:marTop w:val="0"/>
                  <w:marBottom w:val="0"/>
                  <w:divBdr>
                    <w:top w:val="none" w:sz="0" w:space="0" w:color="auto"/>
                    <w:left w:val="none" w:sz="0" w:space="0" w:color="auto"/>
                    <w:bottom w:val="none" w:sz="0" w:space="0" w:color="auto"/>
                    <w:right w:val="none" w:sz="0" w:space="0" w:color="auto"/>
                  </w:divBdr>
                  <w:divsChild>
                    <w:div w:id="504365886">
                      <w:marLeft w:val="0"/>
                      <w:marRight w:val="0"/>
                      <w:marTop w:val="0"/>
                      <w:marBottom w:val="0"/>
                      <w:divBdr>
                        <w:top w:val="none" w:sz="0" w:space="0" w:color="auto"/>
                        <w:left w:val="none" w:sz="0" w:space="0" w:color="auto"/>
                        <w:bottom w:val="none" w:sz="0" w:space="0" w:color="auto"/>
                        <w:right w:val="none" w:sz="0" w:space="0" w:color="auto"/>
                      </w:divBdr>
                      <w:divsChild>
                        <w:div w:id="620957294">
                          <w:marLeft w:val="0"/>
                          <w:marRight w:val="0"/>
                          <w:marTop w:val="0"/>
                          <w:marBottom w:val="0"/>
                          <w:divBdr>
                            <w:top w:val="none" w:sz="0" w:space="0" w:color="auto"/>
                            <w:left w:val="none" w:sz="0" w:space="0" w:color="auto"/>
                            <w:bottom w:val="none" w:sz="0" w:space="0" w:color="auto"/>
                            <w:right w:val="none" w:sz="0" w:space="0" w:color="auto"/>
                          </w:divBdr>
                          <w:divsChild>
                            <w:div w:id="926815835">
                              <w:marLeft w:val="0"/>
                              <w:marRight w:val="0"/>
                              <w:marTop w:val="0"/>
                              <w:marBottom w:val="0"/>
                              <w:divBdr>
                                <w:top w:val="none" w:sz="0" w:space="0" w:color="auto"/>
                                <w:left w:val="none" w:sz="0" w:space="0" w:color="auto"/>
                                <w:bottom w:val="none" w:sz="0" w:space="0" w:color="auto"/>
                                <w:right w:val="none" w:sz="0" w:space="0" w:color="auto"/>
                              </w:divBdr>
                              <w:divsChild>
                                <w:div w:id="161756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882125">
      <w:bodyDiv w:val="1"/>
      <w:marLeft w:val="0"/>
      <w:marRight w:val="0"/>
      <w:marTop w:val="0"/>
      <w:marBottom w:val="0"/>
      <w:divBdr>
        <w:top w:val="none" w:sz="0" w:space="0" w:color="auto"/>
        <w:left w:val="none" w:sz="0" w:space="0" w:color="auto"/>
        <w:bottom w:val="none" w:sz="0" w:space="0" w:color="auto"/>
        <w:right w:val="none" w:sz="0" w:space="0" w:color="auto"/>
      </w:divBdr>
      <w:divsChild>
        <w:div w:id="1196890727">
          <w:marLeft w:val="144"/>
          <w:marRight w:val="144"/>
          <w:marTop w:val="0"/>
          <w:marBottom w:val="144"/>
          <w:divBdr>
            <w:top w:val="none" w:sz="0" w:space="0" w:color="auto"/>
            <w:left w:val="none" w:sz="0" w:space="0" w:color="auto"/>
            <w:bottom w:val="none" w:sz="0" w:space="0" w:color="auto"/>
            <w:right w:val="none" w:sz="0" w:space="0" w:color="auto"/>
          </w:divBdr>
          <w:divsChild>
            <w:div w:id="711729756">
              <w:marLeft w:val="0"/>
              <w:marRight w:val="0"/>
              <w:marTop w:val="0"/>
              <w:marBottom w:val="0"/>
              <w:divBdr>
                <w:top w:val="none" w:sz="0" w:space="0" w:color="auto"/>
                <w:left w:val="none" w:sz="0" w:space="0" w:color="auto"/>
                <w:bottom w:val="none" w:sz="0" w:space="0" w:color="auto"/>
                <w:right w:val="none" w:sz="0" w:space="0" w:color="auto"/>
              </w:divBdr>
              <w:divsChild>
                <w:div w:id="795877129">
                  <w:marLeft w:val="0"/>
                  <w:marRight w:val="0"/>
                  <w:marTop w:val="0"/>
                  <w:marBottom w:val="0"/>
                  <w:divBdr>
                    <w:top w:val="none" w:sz="0" w:space="0" w:color="auto"/>
                    <w:left w:val="none" w:sz="0" w:space="0" w:color="auto"/>
                    <w:bottom w:val="none" w:sz="0" w:space="0" w:color="auto"/>
                    <w:right w:val="none" w:sz="0" w:space="0" w:color="auto"/>
                  </w:divBdr>
                  <w:divsChild>
                    <w:div w:id="591818651">
                      <w:marLeft w:val="0"/>
                      <w:marRight w:val="0"/>
                      <w:marTop w:val="0"/>
                      <w:marBottom w:val="0"/>
                      <w:divBdr>
                        <w:top w:val="none" w:sz="0" w:space="0" w:color="auto"/>
                        <w:left w:val="none" w:sz="0" w:space="0" w:color="auto"/>
                        <w:bottom w:val="none" w:sz="0" w:space="0" w:color="auto"/>
                        <w:right w:val="none" w:sz="0" w:space="0" w:color="auto"/>
                      </w:divBdr>
                    </w:div>
                    <w:div w:id="77151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450077">
      <w:bodyDiv w:val="1"/>
      <w:marLeft w:val="0"/>
      <w:marRight w:val="0"/>
      <w:marTop w:val="0"/>
      <w:marBottom w:val="0"/>
      <w:divBdr>
        <w:top w:val="none" w:sz="0" w:space="0" w:color="auto"/>
        <w:left w:val="none" w:sz="0" w:space="0" w:color="auto"/>
        <w:bottom w:val="none" w:sz="0" w:space="0" w:color="auto"/>
        <w:right w:val="none" w:sz="0" w:space="0" w:color="auto"/>
      </w:divBdr>
    </w:div>
    <w:div w:id="204879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nra.ie/PublicPrivatePartnership/"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http://www.idea.gov.uk/idk/core/page.do?pageId=1060828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hse.gov.uk/risk/assessment.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h.gov.uk"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jctcontracts.com/JCT/pdf/Guide_to_selecting_the_appropriate_JCT_sub-contract_August_2009.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mm-katyoka\My%20Documents\UWE%20Stuff\Projects\PPP\SS\Zed%20stats%20100411.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mm-katyoka\My%20Documents\UWE%20Stuff\Projects\PPP\SS\Zed%20stats%200704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sz="1200"/>
            </a:pPr>
            <a:r>
              <a:rPr lang="en-US" sz="1200"/>
              <a:t>Figure 1: Economic</a:t>
            </a:r>
            <a:r>
              <a:rPr lang="en-US" sz="1200" baseline="0"/>
              <a:t> </a:t>
            </a:r>
            <a:r>
              <a:rPr lang="en-US" sz="1200"/>
              <a:t>Indicators for Zambia 1994 - 2009</a:t>
            </a:r>
          </a:p>
        </c:rich>
      </c:tx>
      <c:layout/>
    </c:title>
    <c:plotArea>
      <c:layout/>
      <c:lineChart>
        <c:grouping val="standard"/>
        <c:ser>
          <c:idx val="0"/>
          <c:order val="0"/>
          <c:tx>
            <c:strRef>
              <c:f>Data!$D$3</c:f>
              <c:strCache>
                <c:ptCount val="1"/>
                <c:pt idx="0">
                  <c:v>Inflation, consumer prices (annual %)</c:v>
                </c:pt>
              </c:strCache>
            </c:strRef>
          </c:tx>
          <c:cat>
            <c:strRef>
              <c:f>Data!$A$38:$A$53</c:f>
              <c:strCache>
                <c:ptCount val="16"/>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strCache>
            </c:strRef>
          </c:cat>
          <c:val>
            <c:numRef>
              <c:f>Data!$D$38:$D$53</c:f>
              <c:numCache>
                <c:formatCode>#,##0.00</c:formatCode>
                <c:ptCount val="16"/>
                <c:pt idx="0">
                  <c:v>54.6</c:v>
                </c:pt>
                <c:pt idx="1">
                  <c:v>34.93</c:v>
                </c:pt>
                <c:pt idx="2">
                  <c:v>43.07</c:v>
                </c:pt>
                <c:pt idx="3">
                  <c:v>24.419999999999987</c:v>
                </c:pt>
                <c:pt idx="4">
                  <c:v>24.459999999999987</c:v>
                </c:pt>
                <c:pt idx="5">
                  <c:v>26.79</c:v>
                </c:pt>
                <c:pt idx="6">
                  <c:v>26.03</c:v>
                </c:pt>
                <c:pt idx="7">
                  <c:v>21.39</c:v>
                </c:pt>
                <c:pt idx="8">
                  <c:v>22.23</c:v>
                </c:pt>
                <c:pt idx="9">
                  <c:v>21.4</c:v>
                </c:pt>
                <c:pt idx="10">
                  <c:v>17.97</c:v>
                </c:pt>
                <c:pt idx="11">
                  <c:v>18.32</c:v>
                </c:pt>
                <c:pt idx="12">
                  <c:v>9.02</c:v>
                </c:pt>
                <c:pt idx="13">
                  <c:v>10.66</c:v>
                </c:pt>
                <c:pt idx="14">
                  <c:v>12.450000000000006</c:v>
                </c:pt>
                <c:pt idx="15">
                  <c:v>13.4</c:v>
                </c:pt>
              </c:numCache>
            </c:numRef>
          </c:val>
        </c:ser>
        <c:ser>
          <c:idx val="1"/>
          <c:order val="1"/>
          <c:tx>
            <c:strRef>
              <c:f>Data!$J$3</c:f>
              <c:strCache>
                <c:ptCount val="1"/>
                <c:pt idx="0">
                  <c:v>Lending interest rate (%)</c:v>
                </c:pt>
              </c:strCache>
            </c:strRef>
          </c:tx>
          <c:cat>
            <c:strRef>
              <c:f>Data!$A$38:$A$53</c:f>
              <c:strCache>
                <c:ptCount val="16"/>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strCache>
            </c:strRef>
          </c:cat>
          <c:val>
            <c:numRef>
              <c:f>Data!$J$38:$J$53</c:f>
              <c:numCache>
                <c:formatCode>#,##0.00</c:formatCode>
                <c:ptCount val="16"/>
                <c:pt idx="0">
                  <c:v>70.56</c:v>
                </c:pt>
                <c:pt idx="1">
                  <c:v>45.53</c:v>
                </c:pt>
                <c:pt idx="2">
                  <c:v>53.78</c:v>
                </c:pt>
                <c:pt idx="3">
                  <c:v>46.690000000000012</c:v>
                </c:pt>
                <c:pt idx="4">
                  <c:v>31.8</c:v>
                </c:pt>
                <c:pt idx="5">
                  <c:v>40.520000000000003</c:v>
                </c:pt>
                <c:pt idx="6">
                  <c:v>38.800000000000004</c:v>
                </c:pt>
                <c:pt idx="7">
                  <c:v>46.230000000000011</c:v>
                </c:pt>
                <c:pt idx="8">
                  <c:v>45.2</c:v>
                </c:pt>
                <c:pt idx="9">
                  <c:v>40.57</c:v>
                </c:pt>
                <c:pt idx="10">
                  <c:v>30.73</c:v>
                </c:pt>
                <c:pt idx="11">
                  <c:v>28.21</c:v>
                </c:pt>
                <c:pt idx="12">
                  <c:v>23.150000000000031</c:v>
                </c:pt>
                <c:pt idx="13">
                  <c:v>18.89</c:v>
                </c:pt>
                <c:pt idx="14">
                  <c:v>19.059999999999999</c:v>
                </c:pt>
                <c:pt idx="15">
                  <c:v>22.06</c:v>
                </c:pt>
              </c:numCache>
            </c:numRef>
          </c:val>
        </c:ser>
        <c:marker val="1"/>
        <c:axId val="211920000"/>
        <c:axId val="211921536"/>
      </c:lineChart>
      <c:lineChart>
        <c:grouping val="standard"/>
        <c:ser>
          <c:idx val="2"/>
          <c:order val="2"/>
          <c:tx>
            <c:strRef>
              <c:f>Data!$T$3</c:f>
              <c:strCache>
                <c:ptCount val="1"/>
                <c:pt idx="0">
                  <c:v>US $ To Kwacha Exchange Rate</c:v>
                </c:pt>
              </c:strCache>
            </c:strRef>
          </c:tx>
          <c:cat>
            <c:strRef>
              <c:f>Data!$A$38:$A$53</c:f>
              <c:strCache>
                <c:ptCount val="16"/>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strCache>
            </c:strRef>
          </c:cat>
          <c:val>
            <c:numRef>
              <c:f>Data!$T$38:$T$53</c:f>
              <c:numCache>
                <c:formatCode>#,##0.000000</c:formatCode>
                <c:ptCount val="16"/>
                <c:pt idx="0">
                  <c:v>1.355932203389831E-3</c:v>
                </c:pt>
                <c:pt idx="1">
                  <c:v>1.243704059126686E-3</c:v>
                </c:pt>
                <c:pt idx="2">
                  <c:v>8.146639511201673E-4</c:v>
                </c:pt>
                <c:pt idx="3">
                  <c:v>7.7160493827160793E-4</c:v>
                </c:pt>
                <c:pt idx="4">
                  <c:v>5.7636887608069254E-4</c:v>
                </c:pt>
                <c:pt idx="5">
                  <c:v>4.0983606557377152E-4</c:v>
                </c:pt>
                <c:pt idx="6">
                  <c:v>3.4188034188034231E-4</c:v>
                </c:pt>
                <c:pt idx="7">
                  <c:v>3.3057851239669456E-4</c:v>
                </c:pt>
                <c:pt idx="8">
                  <c:v>2.2222222222222291E-4</c:v>
                </c:pt>
                <c:pt idx="9">
                  <c:v>2.0429009193054194E-4</c:v>
                </c:pt>
                <c:pt idx="10">
                  <c:v>2.1390374331550798E-4</c:v>
                </c:pt>
                <c:pt idx="11">
                  <c:v>2.1563342318059418E-4</c:v>
                </c:pt>
                <c:pt idx="12">
                  <c:v>3.0627871362940324E-4</c:v>
                </c:pt>
                <c:pt idx="13">
                  <c:v>2.3640661938534278E-4</c:v>
                </c:pt>
                <c:pt idx="14">
                  <c:v>2.7322404371584694E-4</c:v>
                </c:pt>
                <c:pt idx="15">
                  <c:v>1.7857142857142865E-4</c:v>
                </c:pt>
              </c:numCache>
            </c:numRef>
          </c:val>
        </c:ser>
        <c:marker val="1"/>
        <c:axId val="212354176"/>
        <c:axId val="211980672"/>
      </c:lineChart>
      <c:catAx>
        <c:axId val="211920000"/>
        <c:scaling>
          <c:orientation val="minMax"/>
        </c:scaling>
        <c:axPos val="b"/>
        <c:majorTickMark val="none"/>
        <c:tickLblPos val="nextTo"/>
        <c:txPr>
          <a:bodyPr/>
          <a:lstStyle/>
          <a:p>
            <a:pPr>
              <a:defRPr sz="800" baseline="0"/>
            </a:pPr>
            <a:endParaRPr lang="en-US"/>
          </a:p>
        </c:txPr>
        <c:crossAx val="211921536"/>
        <c:crosses val="autoZero"/>
        <c:auto val="1"/>
        <c:lblAlgn val="ctr"/>
        <c:lblOffset val="100"/>
      </c:catAx>
      <c:valAx>
        <c:axId val="211921536"/>
        <c:scaling>
          <c:orientation val="minMax"/>
        </c:scaling>
        <c:axPos val="l"/>
        <c:majorGridlines/>
        <c:numFmt formatCode="#,##0" sourceLinked="0"/>
        <c:majorTickMark val="none"/>
        <c:tickLblPos val="nextTo"/>
        <c:spPr>
          <a:ln w="9525">
            <a:noFill/>
          </a:ln>
        </c:spPr>
        <c:txPr>
          <a:bodyPr/>
          <a:lstStyle/>
          <a:p>
            <a:pPr>
              <a:defRPr sz="800"/>
            </a:pPr>
            <a:endParaRPr lang="en-US"/>
          </a:p>
        </c:txPr>
        <c:crossAx val="211920000"/>
        <c:crosses val="autoZero"/>
        <c:crossBetween val="between"/>
      </c:valAx>
      <c:valAx>
        <c:axId val="211980672"/>
        <c:scaling>
          <c:orientation val="minMax"/>
          <c:max val="1.5000000000000059E-3"/>
          <c:min val="0"/>
        </c:scaling>
        <c:axPos val="r"/>
        <c:numFmt formatCode="@" sourceLinked="0"/>
        <c:tickLblPos val="nextTo"/>
        <c:txPr>
          <a:bodyPr/>
          <a:lstStyle/>
          <a:p>
            <a:pPr>
              <a:defRPr sz="800"/>
            </a:pPr>
            <a:endParaRPr lang="en-US"/>
          </a:p>
        </c:txPr>
        <c:crossAx val="212354176"/>
        <c:crosses val="max"/>
        <c:crossBetween val="between"/>
      </c:valAx>
      <c:catAx>
        <c:axId val="212354176"/>
        <c:scaling>
          <c:orientation val="minMax"/>
        </c:scaling>
        <c:delete val="1"/>
        <c:axPos val="b"/>
        <c:tickLblPos val="none"/>
        <c:crossAx val="211980672"/>
        <c:crosses val="autoZero"/>
        <c:auto val="1"/>
        <c:lblAlgn val="ctr"/>
        <c:lblOffset val="100"/>
      </c:catAx>
    </c:plotArea>
    <c:legend>
      <c:legendPos val="b"/>
      <c:legendEntry>
        <c:idx val="0"/>
        <c:txPr>
          <a:bodyPr/>
          <a:lstStyle/>
          <a:p>
            <a:pPr>
              <a:defRPr sz="800"/>
            </a:pPr>
            <a:endParaRPr lang="en-US"/>
          </a:p>
        </c:txPr>
      </c:legendEntry>
      <c:legendEntry>
        <c:idx val="1"/>
        <c:txPr>
          <a:bodyPr/>
          <a:lstStyle/>
          <a:p>
            <a:pPr>
              <a:defRPr sz="800"/>
            </a:pPr>
            <a:endParaRPr lang="en-US"/>
          </a:p>
        </c:txPr>
      </c:legendEntry>
      <c:legendEntry>
        <c:idx val="2"/>
        <c:txPr>
          <a:bodyPr/>
          <a:lstStyle/>
          <a:p>
            <a:pPr>
              <a:defRPr sz="800"/>
            </a:pPr>
            <a:endParaRPr lang="en-US"/>
          </a:p>
        </c:txPr>
      </c:legendEntry>
      <c:layout/>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sz="1100">
                <a:latin typeface="Book Antiqua" pitchFamily="18" charset="0"/>
              </a:defRPr>
            </a:pPr>
            <a:r>
              <a:rPr lang="en-US" sz="1100">
                <a:latin typeface="Book Antiqua" pitchFamily="18" charset="0"/>
              </a:rPr>
              <a:t>Figure 3 : Government</a:t>
            </a:r>
            <a:r>
              <a:rPr lang="en-US" sz="1100" baseline="0">
                <a:latin typeface="Book Antiqua" pitchFamily="18" charset="0"/>
              </a:rPr>
              <a:t> </a:t>
            </a:r>
            <a:r>
              <a:rPr lang="en-US" sz="1100">
                <a:latin typeface="Book Antiqua" pitchFamily="18" charset="0"/>
              </a:rPr>
              <a:t>Revenue,</a:t>
            </a:r>
            <a:r>
              <a:rPr lang="en-US" sz="1100" baseline="0">
                <a:latin typeface="Book Antiqua" pitchFamily="18" charset="0"/>
              </a:rPr>
              <a:t> Expenditure and Debt</a:t>
            </a:r>
            <a:endParaRPr lang="en-US" sz="1100">
              <a:latin typeface="Book Antiqua" pitchFamily="18" charset="0"/>
            </a:endParaRPr>
          </a:p>
        </c:rich>
      </c:tx>
      <c:layout/>
    </c:title>
    <c:view3D>
      <c:rAngAx val="1"/>
    </c:view3D>
    <c:plotArea>
      <c:layout/>
      <c:bar3DChart>
        <c:barDir val="col"/>
        <c:grouping val="clustered"/>
        <c:ser>
          <c:idx val="0"/>
          <c:order val="0"/>
          <c:tx>
            <c:strRef>
              <c:f>'Revenue expdture &amp; Debt'!$B$5</c:f>
              <c:strCache>
                <c:ptCount val="1"/>
                <c:pt idx="0">
                  <c:v>General revenue</c:v>
                </c:pt>
              </c:strCache>
            </c:strRef>
          </c:tx>
          <c:cat>
            <c:strRef>
              <c:f>'Revenue expdture &amp; Debt'!$A$6:$A$20</c:f>
              <c:strCache>
                <c:ptCount val="15"/>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strCache>
            </c:strRef>
          </c:cat>
          <c:val>
            <c:numRef>
              <c:f>'Revenue expdture &amp; Debt'!$B$6:$B$20</c:f>
              <c:numCache>
                <c:formatCode>#,##0.00</c:formatCode>
                <c:ptCount val="15"/>
                <c:pt idx="0">
                  <c:v>3263.03</c:v>
                </c:pt>
                <c:pt idx="1">
                  <c:v>4256.07</c:v>
                </c:pt>
                <c:pt idx="2">
                  <c:v>5104.1900000000014</c:v>
                </c:pt>
                <c:pt idx="3">
                  <c:v>6173.1500000000024</c:v>
                </c:pt>
                <c:pt idx="4">
                  <c:v>7467.39</c:v>
                </c:pt>
                <c:pt idx="5">
                  <c:v>16824.88</c:v>
                </c:pt>
                <c:pt idx="6">
                  <c:v>10625.849999999975</c:v>
                </c:pt>
                <c:pt idx="7">
                  <c:v>12289.54</c:v>
                </c:pt>
                <c:pt idx="8">
                  <c:v>12926.49</c:v>
                </c:pt>
                <c:pt idx="9">
                  <c:v>15172</c:v>
                </c:pt>
                <c:pt idx="10">
                  <c:v>17390.53</c:v>
                </c:pt>
                <c:pt idx="11">
                  <c:v>20356.45</c:v>
                </c:pt>
                <c:pt idx="12">
                  <c:v>23094.309999999939</c:v>
                </c:pt>
                <c:pt idx="13">
                  <c:v>26628.06</c:v>
                </c:pt>
                <c:pt idx="14">
                  <c:v>30443</c:v>
                </c:pt>
              </c:numCache>
            </c:numRef>
          </c:val>
        </c:ser>
        <c:ser>
          <c:idx val="1"/>
          <c:order val="1"/>
          <c:tx>
            <c:strRef>
              <c:f>'Revenue expdture &amp; Debt'!$C$5</c:f>
              <c:strCache>
                <c:ptCount val="1"/>
                <c:pt idx="0">
                  <c:v>General total expenditure</c:v>
                </c:pt>
              </c:strCache>
            </c:strRef>
          </c:tx>
          <c:cat>
            <c:strRef>
              <c:f>'Revenue expdture &amp; Debt'!$A$6:$A$20</c:f>
              <c:strCache>
                <c:ptCount val="15"/>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strCache>
            </c:strRef>
          </c:cat>
          <c:val>
            <c:numRef>
              <c:f>'Revenue expdture &amp; Debt'!$C$6:$C$20</c:f>
              <c:numCache>
                <c:formatCode>#,##0.00</c:formatCode>
                <c:ptCount val="15"/>
                <c:pt idx="0">
                  <c:v>4134.18</c:v>
                </c:pt>
                <c:pt idx="1">
                  <c:v>5085.9800000000005</c:v>
                </c:pt>
                <c:pt idx="2">
                  <c:v>6337.2</c:v>
                </c:pt>
                <c:pt idx="3">
                  <c:v>6918.91</c:v>
                </c:pt>
                <c:pt idx="4">
                  <c:v>8349.5400000000009</c:v>
                </c:pt>
                <c:pt idx="5">
                  <c:v>9051.07</c:v>
                </c:pt>
                <c:pt idx="6">
                  <c:v>11209.220000000008</c:v>
                </c:pt>
                <c:pt idx="7">
                  <c:v>13098.03</c:v>
                </c:pt>
                <c:pt idx="8">
                  <c:v>15009.83</c:v>
                </c:pt>
                <c:pt idx="9">
                  <c:v>17213.309999999939</c:v>
                </c:pt>
                <c:pt idx="10">
                  <c:v>20152.8</c:v>
                </c:pt>
                <c:pt idx="11">
                  <c:v>24345.84</c:v>
                </c:pt>
                <c:pt idx="12">
                  <c:v>26740.03</c:v>
                </c:pt>
                <c:pt idx="13">
                  <c:v>29425.629999999939</c:v>
                </c:pt>
                <c:pt idx="14">
                  <c:v>32721.32</c:v>
                </c:pt>
              </c:numCache>
            </c:numRef>
          </c:val>
        </c:ser>
        <c:ser>
          <c:idx val="2"/>
          <c:order val="2"/>
          <c:tx>
            <c:strRef>
              <c:f>'Revenue expdture &amp; Debt'!$D$5</c:f>
              <c:strCache>
                <c:ptCount val="1"/>
                <c:pt idx="0">
                  <c:v>Total gross debt</c:v>
                </c:pt>
              </c:strCache>
            </c:strRef>
          </c:tx>
          <c:cat>
            <c:strRef>
              <c:f>'Revenue expdture &amp; Debt'!$A$6:$A$20</c:f>
              <c:strCache>
                <c:ptCount val="15"/>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strCache>
            </c:strRef>
          </c:cat>
          <c:val>
            <c:numRef>
              <c:f>'Revenue expdture &amp; Debt'!$D$6:$D$20</c:f>
              <c:numCache>
                <c:formatCode>#,##0.00</c:formatCode>
                <c:ptCount val="15"/>
                <c:pt idx="0">
                  <c:v>31083.86</c:v>
                </c:pt>
                <c:pt idx="1">
                  <c:v>33249.64</c:v>
                </c:pt>
                <c:pt idx="2">
                  <c:v>36997.199999999997</c:v>
                </c:pt>
                <c:pt idx="3">
                  <c:v>38623.350000000013</c:v>
                </c:pt>
                <c:pt idx="4">
                  <c:v>28163.609999999939</c:v>
                </c:pt>
                <c:pt idx="5">
                  <c:v>11502.43</c:v>
                </c:pt>
                <c:pt idx="6">
                  <c:v>11906.55</c:v>
                </c:pt>
                <c:pt idx="7">
                  <c:v>14757.06</c:v>
                </c:pt>
                <c:pt idx="8">
                  <c:v>17881.55</c:v>
                </c:pt>
                <c:pt idx="9">
                  <c:v>19528.629999999939</c:v>
                </c:pt>
                <c:pt idx="10">
                  <c:v>23157.49</c:v>
                </c:pt>
                <c:pt idx="11">
                  <c:v>28034.41</c:v>
                </c:pt>
                <c:pt idx="12">
                  <c:v>32580.560000000001</c:v>
                </c:pt>
                <c:pt idx="13">
                  <c:v>36051.47</c:v>
                </c:pt>
                <c:pt idx="14">
                  <c:v>39110.67</c:v>
                </c:pt>
              </c:numCache>
            </c:numRef>
          </c:val>
        </c:ser>
        <c:shape val="box"/>
        <c:axId val="219628672"/>
        <c:axId val="219630208"/>
        <c:axId val="0"/>
      </c:bar3DChart>
      <c:catAx>
        <c:axId val="219628672"/>
        <c:scaling>
          <c:orientation val="minMax"/>
        </c:scaling>
        <c:axPos val="b"/>
        <c:majorTickMark val="none"/>
        <c:tickLblPos val="nextTo"/>
        <c:txPr>
          <a:bodyPr/>
          <a:lstStyle/>
          <a:p>
            <a:pPr>
              <a:defRPr sz="800">
                <a:latin typeface="Book Antiqua" pitchFamily="18" charset="0"/>
              </a:defRPr>
            </a:pPr>
            <a:endParaRPr lang="en-US"/>
          </a:p>
        </c:txPr>
        <c:crossAx val="219630208"/>
        <c:crosses val="autoZero"/>
        <c:auto val="1"/>
        <c:lblAlgn val="ctr"/>
        <c:lblOffset val="100"/>
      </c:catAx>
      <c:valAx>
        <c:axId val="219630208"/>
        <c:scaling>
          <c:orientation val="minMax"/>
        </c:scaling>
        <c:axPos val="l"/>
        <c:majorGridlines/>
        <c:title>
          <c:tx>
            <c:rich>
              <a:bodyPr rot="-5400000" vert="horz"/>
              <a:lstStyle/>
              <a:p>
                <a:pPr>
                  <a:defRPr sz="900" b="0"/>
                </a:pPr>
                <a:r>
                  <a:rPr lang="en-US" sz="900" b="0"/>
                  <a:t>Kwacha (Billions)</a:t>
                </a:r>
              </a:p>
            </c:rich>
          </c:tx>
          <c:layout/>
        </c:title>
        <c:numFmt formatCode="#,##0" sourceLinked="0"/>
        <c:majorTickMark val="none"/>
        <c:tickLblPos val="nextTo"/>
        <c:txPr>
          <a:bodyPr/>
          <a:lstStyle/>
          <a:p>
            <a:pPr>
              <a:defRPr sz="800">
                <a:latin typeface="Book Antiqua" pitchFamily="18" charset="0"/>
              </a:defRPr>
            </a:pPr>
            <a:endParaRPr lang="en-US"/>
          </a:p>
        </c:txPr>
        <c:crossAx val="219628672"/>
        <c:crosses val="autoZero"/>
        <c:crossBetween val="between"/>
      </c:valAx>
    </c:plotArea>
    <c:legend>
      <c:legendPos val="b"/>
      <c:layout/>
      <c:txPr>
        <a:bodyPr/>
        <a:lstStyle/>
        <a:p>
          <a:pPr>
            <a:defRPr>
              <a:latin typeface="Book Antiqua" pitchFamily="18" charset="0"/>
            </a:defRPr>
          </a:pPr>
          <a:endParaRPr lang="en-US"/>
        </a:p>
      </c:txPr>
    </c:legend>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0.68403</cdr:x>
      <cdr:y>0.1573</cdr:y>
    </cdr:from>
    <cdr:to>
      <cdr:x>0.98958</cdr:x>
      <cdr:y>0.89045</cdr:y>
    </cdr:to>
    <cdr:grpSp>
      <cdr:nvGrpSpPr>
        <cdr:cNvPr id="10" name="Group 9"/>
        <cdr:cNvGrpSpPr/>
      </cdr:nvGrpSpPr>
      <cdr:grpSpPr>
        <a:xfrm xmlns:a="http://schemas.openxmlformats.org/drawingml/2006/main">
          <a:off x="3214431" y="448766"/>
          <a:ext cx="1435857" cy="2091624"/>
          <a:chOff x="3752850" y="533400"/>
          <a:chExt cx="1676400" cy="2486028"/>
        </a:xfrm>
      </cdr:grpSpPr>
      <cdr:sp macro="" textlink="">
        <cdr:nvSpPr>
          <cdr:cNvPr id="4" name="Straight Connector 3"/>
          <cdr:cNvSpPr/>
        </cdr:nvSpPr>
        <cdr:spPr>
          <a:xfrm xmlns:a="http://schemas.openxmlformats.org/drawingml/2006/main" rot="5400000" flipV="1">
            <a:off x="2528886" y="1766890"/>
            <a:ext cx="2486027" cy="19049"/>
          </a:xfrm>
          <a:prstGeom xmlns:a="http://schemas.openxmlformats.org/drawingml/2006/main" prst="line">
            <a:avLst/>
          </a:prstGeom>
          <a:ln xmlns:a="http://schemas.openxmlformats.org/drawingml/2006/main" w="28575">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sp macro="" textlink="">
        <cdr:nvSpPr>
          <cdr:cNvPr id="8" name="Straight Arrow Connector 7"/>
          <cdr:cNvSpPr/>
        </cdr:nvSpPr>
        <cdr:spPr>
          <a:xfrm xmlns:a="http://schemas.openxmlformats.org/drawingml/2006/main">
            <a:off x="3752850" y="533400"/>
            <a:ext cx="1676400" cy="1588"/>
          </a:xfrm>
          <a:prstGeom xmlns:a="http://schemas.openxmlformats.org/drawingml/2006/main" prst="straightConnector1">
            <a:avLst/>
          </a:prstGeom>
          <a:ln xmlns:a="http://schemas.openxmlformats.org/drawingml/2006/main" w="19050">
            <a:solidFill>
              <a:srgbClr val="FF0000"/>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grpSp>
  </cdr:relSizeAnchor>
  <cdr:relSizeAnchor xmlns:cdr="http://schemas.openxmlformats.org/drawingml/2006/chartDrawing">
    <cdr:from>
      <cdr:x>0.69965</cdr:x>
      <cdr:y>0.16011</cdr:y>
    </cdr:from>
    <cdr:to>
      <cdr:x>0.90972</cdr:x>
      <cdr:y>0.21629</cdr:y>
    </cdr:to>
    <cdr:sp macro="" textlink="">
      <cdr:nvSpPr>
        <cdr:cNvPr id="9" name="TextBox 8"/>
        <cdr:cNvSpPr txBox="1"/>
      </cdr:nvSpPr>
      <cdr:spPr>
        <a:xfrm xmlns:a="http://schemas.openxmlformats.org/drawingml/2006/main">
          <a:off x="3838575" y="542925"/>
          <a:ext cx="1152525"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1">
              <a:solidFill>
                <a:srgbClr val="FF0000"/>
              </a:solidFill>
            </a:rPr>
            <a:t>Forecasts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45B0E-F950-4629-B075-9A0744ECF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14</Pages>
  <Words>3461</Words>
  <Characters>19731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23146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 Matipa;Mutale Katyoka</dc:creator>
  <cp:lastModifiedBy>A.Owens</cp:lastModifiedBy>
  <cp:revision>11</cp:revision>
  <dcterms:created xsi:type="dcterms:W3CDTF">2011-04-11T09:20:00Z</dcterms:created>
  <dcterms:modified xsi:type="dcterms:W3CDTF">2011-04-12T17:40:00Z</dcterms:modified>
</cp:coreProperties>
</file>