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7F0A" w14:textId="636EE0F2" w:rsidR="00F33F1E" w:rsidRDefault="00F33F1E" w:rsidP="00FE4C24">
      <w:pPr>
        <w:pStyle w:val="Heading1"/>
        <w:spacing w:before="120" w:after="120" w:line="240" w:lineRule="auto"/>
      </w:pPr>
      <w:r>
        <w:t xml:space="preserve">Don’t be a </w:t>
      </w:r>
      <w:r w:rsidR="00790F73">
        <w:t>s</w:t>
      </w:r>
      <w:r>
        <w:t xml:space="preserve">age, get off the </w:t>
      </w:r>
      <w:r w:rsidR="00790F73">
        <w:t>s</w:t>
      </w:r>
      <w:r>
        <w:t>tage.</w:t>
      </w:r>
    </w:p>
    <w:p w14:paraId="0BE90F89" w14:textId="62B45BA3" w:rsidR="00DA5D64" w:rsidRDefault="00DA5D64" w:rsidP="00FE4C24">
      <w:pPr>
        <w:spacing w:line="240" w:lineRule="auto"/>
      </w:pPr>
    </w:p>
    <w:p w14:paraId="6A9B9F7C" w14:textId="77777777" w:rsidR="00067295" w:rsidRDefault="00E11504" w:rsidP="00AA4500">
      <w:pPr>
        <w:spacing w:before="120" w:after="120"/>
        <w:jc w:val="both"/>
      </w:pPr>
      <w:r w:rsidRPr="00E11504">
        <w:t xml:space="preserve">Dr Maureen Royce, Associate Director Liverpool Business School, Dr Nigel Houlden, Senior Lecturer Liverpool Business School, Dr Amr Al Khateeb Senior Lecturer Liverpool Business School, Dr Claudia Melis Senior Lecturer Liverpool Business School </w:t>
      </w:r>
    </w:p>
    <w:p w14:paraId="5DF5CFCB" w14:textId="77777777" w:rsidR="00067295" w:rsidRDefault="00067295" w:rsidP="00FE4C24">
      <w:pPr>
        <w:spacing w:before="120" w:after="120" w:line="240" w:lineRule="auto"/>
        <w:jc w:val="both"/>
      </w:pPr>
    </w:p>
    <w:p w14:paraId="76408391" w14:textId="6F424FA1" w:rsidR="0054647C" w:rsidRPr="00DA5D64" w:rsidRDefault="00790F73" w:rsidP="00FE4C24">
      <w:pPr>
        <w:spacing w:before="120" w:after="120" w:line="240" w:lineRule="auto"/>
        <w:jc w:val="both"/>
        <w:rPr>
          <w:sz w:val="24"/>
          <w:szCs w:val="24"/>
        </w:rPr>
      </w:pPr>
      <w:r>
        <w:rPr>
          <w:sz w:val="24"/>
          <w:szCs w:val="24"/>
        </w:rPr>
        <w:t>Contemporary business school e</w:t>
      </w:r>
      <w:r w:rsidRPr="00DA5D64">
        <w:rPr>
          <w:sz w:val="24"/>
          <w:szCs w:val="24"/>
        </w:rPr>
        <w:t>ducation</w:t>
      </w:r>
      <w:r>
        <w:rPr>
          <w:sz w:val="24"/>
          <w:szCs w:val="24"/>
        </w:rPr>
        <w:t xml:space="preserve"> which makes an impact on society</w:t>
      </w:r>
      <w:r w:rsidRPr="00DA5D64">
        <w:rPr>
          <w:sz w:val="24"/>
          <w:szCs w:val="24"/>
        </w:rPr>
        <w:t xml:space="preserve"> </w:t>
      </w:r>
      <w:r w:rsidR="00F33F1E" w:rsidRPr="00DA5D64">
        <w:rPr>
          <w:sz w:val="24"/>
          <w:szCs w:val="24"/>
        </w:rPr>
        <w:t xml:space="preserve">should be </w:t>
      </w:r>
      <w:r w:rsidR="00F33F1E" w:rsidRPr="00A11B1D">
        <w:rPr>
          <w:sz w:val="24"/>
          <w:szCs w:val="24"/>
        </w:rPr>
        <w:t xml:space="preserve">engaging, </w:t>
      </w:r>
      <w:r w:rsidR="00DA5D64" w:rsidRPr="00A11B1D">
        <w:rPr>
          <w:sz w:val="24"/>
          <w:szCs w:val="24"/>
        </w:rPr>
        <w:t>needs</w:t>
      </w:r>
      <w:r w:rsidR="00F33F1E" w:rsidRPr="00A11B1D">
        <w:rPr>
          <w:sz w:val="24"/>
          <w:szCs w:val="24"/>
        </w:rPr>
        <w:t xml:space="preserve"> to be engaging and</w:t>
      </w:r>
      <w:r w:rsidR="0054647C" w:rsidRPr="00A11B1D">
        <w:rPr>
          <w:sz w:val="24"/>
          <w:szCs w:val="24"/>
        </w:rPr>
        <w:t xml:space="preserve"> </w:t>
      </w:r>
      <w:r w:rsidR="00F33F1E" w:rsidRPr="00A11B1D">
        <w:rPr>
          <w:sz w:val="24"/>
          <w:szCs w:val="24"/>
        </w:rPr>
        <w:t xml:space="preserve">it must have a purpose. That purpose cannot </w:t>
      </w:r>
      <w:r w:rsidR="00DA5D64" w:rsidRPr="00A11B1D">
        <w:rPr>
          <w:sz w:val="24"/>
          <w:szCs w:val="24"/>
        </w:rPr>
        <w:t xml:space="preserve">centre solely on </w:t>
      </w:r>
      <w:r w:rsidR="00F33F1E" w:rsidRPr="00A11B1D">
        <w:rPr>
          <w:sz w:val="24"/>
          <w:szCs w:val="24"/>
        </w:rPr>
        <w:t xml:space="preserve">the </w:t>
      </w:r>
      <w:r w:rsidRPr="00A11B1D">
        <w:rPr>
          <w:sz w:val="24"/>
          <w:szCs w:val="24"/>
        </w:rPr>
        <w:t xml:space="preserve">interests and personality of the </w:t>
      </w:r>
      <w:r w:rsidR="00F33F1E" w:rsidRPr="00A11B1D">
        <w:rPr>
          <w:sz w:val="24"/>
          <w:szCs w:val="24"/>
        </w:rPr>
        <w:t>academic</w:t>
      </w:r>
      <w:r w:rsidR="00DA5D64" w:rsidRPr="00A11B1D">
        <w:rPr>
          <w:sz w:val="24"/>
          <w:szCs w:val="24"/>
        </w:rPr>
        <w:t>, however charismatic</w:t>
      </w:r>
      <w:r w:rsidRPr="00A11B1D">
        <w:rPr>
          <w:sz w:val="24"/>
          <w:szCs w:val="24"/>
        </w:rPr>
        <w:t xml:space="preserve"> they may be</w:t>
      </w:r>
      <w:r w:rsidR="00DA5D64" w:rsidRPr="00A11B1D">
        <w:rPr>
          <w:sz w:val="24"/>
          <w:szCs w:val="24"/>
        </w:rPr>
        <w:t>.</w:t>
      </w:r>
      <w:r w:rsidR="00F33F1E" w:rsidRPr="00A11B1D">
        <w:rPr>
          <w:sz w:val="24"/>
          <w:szCs w:val="24"/>
        </w:rPr>
        <w:t xml:space="preserve"> </w:t>
      </w:r>
      <w:r w:rsidRPr="00A11B1D">
        <w:rPr>
          <w:sz w:val="24"/>
          <w:szCs w:val="24"/>
        </w:rPr>
        <w:t xml:space="preserve">Business school students </w:t>
      </w:r>
      <w:r w:rsidR="00F9208F" w:rsidRPr="00A11B1D">
        <w:rPr>
          <w:sz w:val="24"/>
          <w:szCs w:val="24"/>
        </w:rPr>
        <w:t xml:space="preserve">must be part of the learning </w:t>
      </w:r>
      <w:r w:rsidR="007B7340" w:rsidRPr="00A11B1D">
        <w:rPr>
          <w:sz w:val="24"/>
          <w:szCs w:val="24"/>
        </w:rPr>
        <w:t>experience;</w:t>
      </w:r>
      <w:r w:rsidR="00F9208F" w:rsidRPr="00A11B1D">
        <w:rPr>
          <w:sz w:val="24"/>
          <w:szCs w:val="24"/>
        </w:rPr>
        <w:t xml:space="preserve"> </w:t>
      </w:r>
      <w:r w:rsidR="00DA5D64" w:rsidRPr="00A11B1D">
        <w:rPr>
          <w:sz w:val="24"/>
          <w:szCs w:val="24"/>
        </w:rPr>
        <w:t>we should be moving towards a space where hierarchical delivery</w:t>
      </w:r>
      <w:r w:rsidR="00F9208F" w:rsidRPr="00A11B1D">
        <w:rPr>
          <w:sz w:val="24"/>
          <w:szCs w:val="24"/>
        </w:rPr>
        <w:t xml:space="preserve"> </w:t>
      </w:r>
      <w:r w:rsidRPr="00A11B1D">
        <w:rPr>
          <w:sz w:val="24"/>
          <w:szCs w:val="24"/>
        </w:rPr>
        <w:t xml:space="preserve">driven by the academic </w:t>
      </w:r>
      <w:r w:rsidR="00DA5D64" w:rsidRPr="00A11B1D">
        <w:rPr>
          <w:sz w:val="24"/>
          <w:szCs w:val="24"/>
        </w:rPr>
        <w:t xml:space="preserve">does not dominate the teaching and learning agenda. </w:t>
      </w:r>
      <w:r w:rsidRPr="00A11B1D">
        <w:rPr>
          <w:sz w:val="24"/>
          <w:szCs w:val="24"/>
        </w:rPr>
        <w:t xml:space="preserve">Long standing empirical and conceptual work tells us that there </w:t>
      </w:r>
      <w:r w:rsidR="0054647C" w:rsidRPr="00A11B1D">
        <w:rPr>
          <w:sz w:val="24"/>
          <w:szCs w:val="24"/>
        </w:rPr>
        <w:t xml:space="preserve">are many ways to learn, </w:t>
      </w:r>
      <w:r w:rsidRPr="00A11B1D">
        <w:rPr>
          <w:sz w:val="24"/>
          <w:szCs w:val="24"/>
        </w:rPr>
        <w:t xml:space="preserve">and </w:t>
      </w:r>
      <w:r w:rsidR="0054647C" w:rsidRPr="00A11B1D">
        <w:rPr>
          <w:sz w:val="24"/>
          <w:szCs w:val="24"/>
        </w:rPr>
        <w:t>learning requires engagement</w:t>
      </w:r>
      <w:r w:rsidRPr="00A11B1D">
        <w:rPr>
          <w:sz w:val="24"/>
          <w:szCs w:val="24"/>
        </w:rPr>
        <w:t xml:space="preserve">, </w:t>
      </w:r>
      <w:r w:rsidR="0054647C" w:rsidRPr="00A11B1D">
        <w:rPr>
          <w:sz w:val="24"/>
          <w:szCs w:val="24"/>
        </w:rPr>
        <w:t>and engagement demands greater involvement than</w:t>
      </w:r>
      <w:r w:rsidR="00DA5D64" w:rsidRPr="00A11B1D">
        <w:rPr>
          <w:sz w:val="24"/>
          <w:szCs w:val="24"/>
        </w:rPr>
        <w:t xml:space="preserve"> some of the more</w:t>
      </w:r>
      <w:r w:rsidR="0054647C" w:rsidRPr="00A11B1D">
        <w:rPr>
          <w:sz w:val="24"/>
          <w:szCs w:val="24"/>
        </w:rPr>
        <w:t xml:space="preserve"> passive recipient bystander roles allow. </w:t>
      </w:r>
      <w:r w:rsidR="00CC35FA" w:rsidRPr="00A11B1D">
        <w:rPr>
          <w:sz w:val="24"/>
          <w:szCs w:val="24"/>
        </w:rPr>
        <w:t>If learning</w:t>
      </w:r>
      <w:r w:rsidR="0054647C" w:rsidRPr="00A11B1D">
        <w:rPr>
          <w:sz w:val="24"/>
          <w:szCs w:val="24"/>
        </w:rPr>
        <w:t xml:space="preserve"> is a journey, we need to </w:t>
      </w:r>
      <w:r w:rsidRPr="00A11B1D">
        <w:rPr>
          <w:sz w:val="24"/>
          <w:szCs w:val="24"/>
        </w:rPr>
        <w:t xml:space="preserve">drive the expansion of opportunities to </w:t>
      </w:r>
      <w:r w:rsidR="0054647C" w:rsidRPr="00A11B1D">
        <w:rPr>
          <w:sz w:val="24"/>
          <w:szCs w:val="24"/>
        </w:rPr>
        <w:t xml:space="preserve">allow </w:t>
      </w:r>
      <w:r w:rsidRPr="00A11B1D">
        <w:rPr>
          <w:sz w:val="24"/>
          <w:szCs w:val="24"/>
        </w:rPr>
        <w:t xml:space="preserve">learners </w:t>
      </w:r>
      <w:r w:rsidR="0054647C" w:rsidRPr="00A11B1D">
        <w:rPr>
          <w:sz w:val="24"/>
          <w:szCs w:val="24"/>
        </w:rPr>
        <w:t>to participate in choosing the direction of travel to the end goal?</w:t>
      </w:r>
    </w:p>
    <w:p w14:paraId="1FC7D9E0" w14:textId="434B5D6A" w:rsidR="00520C76" w:rsidRDefault="0054647C" w:rsidP="00615815">
      <w:pPr>
        <w:pStyle w:val="xxmsonormal"/>
        <w:spacing w:before="0" w:beforeAutospacing="0" w:after="0" w:afterAutospacing="0"/>
        <w:jc w:val="both"/>
        <w:textAlignment w:val="baseline"/>
        <w:rPr>
          <w:color w:val="000000"/>
        </w:rPr>
      </w:pPr>
      <w:r w:rsidRPr="00A11B1D">
        <w:rPr>
          <w:color w:val="000000"/>
        </w:rPr>
        <w:t xml:space="preserve">As educators we need to consider the role of tasks and </w:t>
      </w:r>
      <w:r w:rsidR="00DA5D64" w:rsidRPr="00A11B1D">
        <w:rPr>
          <w:color w:val="000000"/>
        </w:rPr>
        <w:t xml:space="preserve">our </w:t>
      </w:r>
      <w:r w:rsidRPr="00A11B1D">
        <w:rPr>
          <w:color w:val="000000"/>
        </w:rPr>
        <w:t>expectations of student endeavours. In this ever-evolving learning environment</w:t>
      </w:r>
      <w:r w:rsidR="00790F73" w:rsidRPr="00A11B1D">
        <w:rPr>
          <w:color w:val="000000"/>
        </w:rPr>
        <w:t xml:space="preserve"> (beyond covid-19)</w:t>
      </w:r>
      <w:r w:rsidRPr="00A11B1D">
        <w:rPr>
          <w:color w:val="000000"/>
        </w:rPr>
        <w:t>,</w:t>
      </w:r>
      <w:r w:rsidR="00EE4A88">
        <w:rPr>
          <w:color w:val="000000"/>
        </w:rPr>
        <w:t xml:space="preserve"> </w:t>
      </w:r>
      <w:r w:rsidRPr="00A11B1D">
        <w:rPr>
          <w:color w:val="000000"/>
        </w:rPr>
        <w:t xml:space="preserve">with </w:t>
      </w:r>
      <w:r w:rsidR="00790F73" w:rsidRPr="00A11B1D">
        <w:rPr>
          <w:color w:val="000000"/>
        </w:rPr>
        <w:t xml:space="preserve">an </w:t>
      </w:r>
      <w:r w:rsidR="0048626F" w:rsidRPr="00A11B1D">
        <w:rPr>
          <w:color w:val="000000"/>
        </w:rPr>
        <w:t>ever-increasing</w:t>
      </w:r>
      <w:r w:rsidR="00790F73" w:rsidRPr="00A11B1D">
        <w:rPr>
          <w:color w:val="000000"/>
        </w:rPr>
        <w:t xml:space="preserve"> </w:t>
      </w:r>
      <w:r w:rsidRPr="00A11B1D">
        <w:rPr>
          <w:color w:val="000000"/>
        </w:rPr>
        <w:t xml:space="preserve">emphasis on student experience and engagement, should </w:t>
      </w:r>
      <w:r w:rsidR="00790F73" w:rsidRPr="00A11B1D">
        <w:rPr>
          <w:color w:val="000000"/>
        </w:rPr>
        <w:t xml:space="preserve">we now reject </w:t>
      </w:r>
      <w:r w:rsidRPr="00A11B1D">
        <w:rPr>
          <w:color w:val="000000"/>
        </w:rPr>
        <w:t>assessment</w:t>
      </w:r>
      <w:r w:rsidR="00DA5D64" w:rsidRPr="00A11B1D">
        <w:rPr>
          <w:color w:val="000000"/>
        </w:rPr>
        <w:t xml:space="preserve"> of </w:t>
      </w:r>
      <w:r w:rsidR="00CC35FA" w:rsidRPr="00A11B1D">
        <w:rPr>
          <w:color w:val="000000"/>
        </w:rPr>
        <w:t xml:space="preserve">learning </w:t>
      </w:r>
      <w:r w:rsidR="00790F73" w:rsidRPr="00A11B1D">
        <w:rPr>
          <w:color w:val="000000"/>
        </w:rPr>
        <w:t xml:space="preserve">the </w:t>
      </w:r>
      <w:r w:rsidR="004B22BD" w:rsidRPr="00A11B1D">
        <w:rPr>
          <w:color w:val="000000"/>
        </w:rPr>
        <w:t xml:space="preserve">conventional exam, essay, </w:t>
      </w:r>
      <w:r w:rsidR="00790F73" w:rsidRPr="00A11B1D">
        <w:rPr>
          <w:color w:val="000000"/>
        </w:rPr>
        <w:t xml:space="preserve">or </w:t>
      </w:r>
      <w:r w:rsidR="004B22BD" w:rsidRPr="00A11B1D">
        <w:rPr>
          <w:color w:val="000000"/>
        </w:rPr>
        <w:t xml:space="preserve">report format? </w:t>
      </w:r>
      <w:r w:rsidRPr="00A11B1D">
        <w:rPr>
          <w:color w:val="000000"/>
        </w:rPr>
        <w:t xml:space="preserve"> Amongst the most important future-proof practices in HE is the promotion of active learning and the facilitation of student co</w:t>
      </w:r>
      <w:r w:rsidR="004B22BD" w:rsidRPr="00A11B1D">
        <w:rPr>
          <w:color w:val="000000"/>
        </w:rPr>
        <w:t>-</w:t>
      </w:r>
      <w:r w:rsidRPr="00A11B1D">
        <w:rPr>
          <w:color w:val="000000"/>
        </w:rPr>
        <w:t xml:space="preserve">operation in the learning process </w:t>
      </w:r>
      <w:r w:rsidR="00790F73" w:rsidRPr="00A11B1D">
        <w:rPr>
          <w:color w:val="000000"/>
        </w:rPr>
        <w:t xml:space="preserve">– a promising practice espoused over 3 decades ago </w:t>
      </w:r>
      <w:r w:rsidRPr="00A11B1D">
        <w:rPr>
          <w:color w:val="000000"/>
        </w:rPr>
        <w:t xml:space="preserve">(Chickering and Gamson, 1991). </w:t>
      </w:r>
      <w:r w:rsidR="004B22BD" w:rsidRPr="00A11B1D">
        <w:rPr>
          <w:color w:val="000000"/>
        </w:rPr>
        <w:t xml:space="preserve">To achieve </w:t>
      </w:r>
      <w:r w:rsidR="00CC35FA" w:rsidRPr="00A11B1D">
        <w:rPr>
          <w:color w:val="000000"/>
        </w:rPr>
        <w:t>this,</w:t>
      </w:r>
      <w:r w:rsidR="004B22BD" w:rsidRPr="00A11B1D">
        <w:rPr>
          <w:color w:val="000000"/>
        </w:rPr>
        <w:t xml:space="preserve"> we need to move beyond</w:t>
      </w:r>
      <w:r w:rsidRPr="00A11B1D">
        <w:rPr>
          <w:color w:val="000000"/>
        </w:rPr>
        <w:t xml:space="preserve"> the traditional lecturer-to-students approach to a more dynamic teaching and learning</w:t>
      </w:r>
      <w:r w:rsidR="004B22BD" w:rsidRPr="00A11B1D">
        <w:rPr>
          <w:color w:val="000000"/>
        </w:rPr>
        <w:t xml:space="preserve"> environment</w:t>
      </w:r>
      <w:r w:rsidR="00520C76" w:rsidRPr="00A11B1D">
        <w:rPr>
          <w:color w:val="000000"/>
        </w:rPr>
        <w:t>s</w:t>
      </w:r>
      <w:r w:rsidR="001A1662" w:rsidRPr="00A11B1D">
        <w:rPr>
          <w:color w:val="000000"/>
        </w:rPr>
        <w:t>.</w:t>
      </w:r>
    </w:p>
    <w:p w14:paraId="3D4B88DE" w14:textId="15CE92EE" w:rsidR="00A74CBA" w:rsidRDefault="00A74CBA" w:rsidP="00615815">
      <w:pPr>
        <w:pStyle w:val="xxmsonormal"/>
        <w:spacing w:before="0" w:beforeAutospacing="0" w:after="0" w:afterAutospacing="0"/>
        <w:jc w:val="both"/>
        <w:textAlignment w:val="baseline"/>
        <w:rPr>
          <w:color w:val="000000"/>
        </w:rPr>
      </w:pPr>
    </w:p>
    <w:p w14:paraId="30E7659D" w14:textId="26E21C53" w:rsidR="00A74CBA" w:rsidRPr="00A11B1D" w:rsidRDefault="00A74CBA" w:rsidP="00615815">
      <w:pPr>
        <w:pStyle w:val="xxmsonormal"/>
        <w:spacing w:before="0" w:beforeAutospacing="0" w:after="0" w:afterAutospacing="0"/>
        <w:jc w:val="both"/>
        <w:textAlignment w:val="baseline"/>
        <w:rPr>
          <w:color w:val="000000"/>
        </w:rPr>
      </w:pPr>
      <w:r>
        <w:rPr>
          <w:color w:val="000000"/>
        </w:rPr>
        <w:t xml:space="preserve">It could and should be </w:t>
      </w:r>
      <w:r w:rsidR="001C75E4">
        <w:rPr>
          <w:color w:val="000000"/>
        </w:rPr>
        <w:t>argued</w:t>
      </w:r>
      <w:r>
        <w:rPr>
          <w:color w:val="000000"/>
        </w:rPr>
        <w:t xml:space="preserve"> </w:t>
      </w:r>
      <w:r w:rsidR="001C75E4">
        <w:rPr>
          <w:color w:val="000000"/>
        </w:rPr>
        <w:t xml:space="preserve">this is what is happening, however </w:t>
      </w:r>
      <w:r w:rsidR="001C75E4" w:rsidRPr="001C75E4">
        <w:rPr>
          <w:color w:val="000000"/>
        </w:rPr>
        <w:t xml:space="preserve">in a survey by the </w:t>
      </w:r>
      <w:r w:rsidR="00177C58">
        <w:rPr>
          <w:color w:val="000000"/>
        </w:rPr>
        <w:t>D</w:t>
      </w:r>
      <w:r w:rsidR="001C75E4" w:rsidRPr="001C75E4">
        <w:rPr>
          <w:color w:val="000000"/>
        </w:rPr>
        <w:t xml:space="preserve">epartment of </w:t>
      </w:r>
      <w:r w:rsidR="001C5736">
        <w:rPr>
          <w:color w:val="000000"/>
        </w:rPr>
        <w:t>business innovation and skills</w:t>
      </w:r>
      <w:r w:rsidR="00C10CA4">
        <w:rPr>
          <w:color w:val="000000"/>
        </w:rPr>
        <w:t xml:space="preserve"> </w:t>
      </w:r>
      <w:sdt>
        <w:sdtPr>
          <w:rPr>
            <w:color w:val="000000"/>
          </w:rPr>
          <w:id w:val="-190000948"/>
          <w:citation/>
        </w:sdtPr>
        <w:sdtEndPr/>
        <w:sdtContent>
          <w:r w:rsidR="00C10CA4">
            <w:rPr>
              <w:color w:val="000000"/>
            </w:rPr>
            <w:fldChar w:fldCharType="begin"/>
          </w:r>
          <w:r w:rsidR="00C10CA4">
            <w:rPr>
              <w:color w:val="000000"/>
            </w:rPr>
            <w:instrText xml:space="preserve"> CITATION Dep14 \l 2057 </w:instrText>
          </w:r>
          <w:r w:rsidR="00C10CA4">
            <w:rPr>
              <w:color w:val="000000"/>
            </w:rPr>
            <w:fldChar w:fldCharType="separate"/>
          </w:r>
          <w:r w:rsidR="00FF70DA" w:rsidRPr="00FF70DA">
            <w:rPr>
              <w:noProof/>
              <w:color w:val="000000"/>
            </w:rPr>
            <w:t>(Department of Business innovation and Skills, 2014)</w:t>
          </w:r>
          <w:r w:rsidR="00C10CA4">
            <w:rPr>
              <w:color w:val="000000"/>
            </w:rPr>
            <w:fldChar w:fldCharType="end"/>
          </w:r>
        </w:sdtContent>
      </w:sdt>
      <w:r w:rsidR="001C75E4" w:rsidRPr="001C75E4">
        <w:rPr>
          <w:color w:val="000000"/>
        </w:rPr>
        <w:t xml:space="preserve">, student representatives were asked about the mechanisms by which students can shape their academic experience. Although there was a large majority 64% saying either improved provision or improved for </w:t>
      </w:r>
      <w:r w:rsidR="001C75E4" w:rsidRPr="0051533B">
        <w:rPr>
          <w:i/>
          <w:iCs/>
          <w:color w:val="000000"/>
        </w:rPr>
        <w:t>some</w:t>
      </w:r>
      <w:r w:rsidR="001C75E4" w:rsidRPr="001C75E4">
        <w:rPr>
          <w:color w:val="000000"/>
        </w:rPr>
        <w:t xml:space="preserve"> disciplines, 36% said no existing provision or not aware of any steps to improve this.</w:t>
      </w:r>
      <w:r w:rsidR="00E52068">
        <w:rPr>
          <w:color w:val="000000"/>
        </w:rPr>
        <w:t xml:space="preserve"> </w:t>
      </w:r>
      <w:r w:rsidR="00395AA4">
        <w:rPr>
          <w:color w:val="000000"/>
        </w:rPr>
        <w:t xml:space="preserve">Although </w:t>
      </w:r>
      <w:r w:rsidR="00274A49">
        <w:rPr>
          <w:color w:val="000000"/>
        </w:rPr>
        <w:t xml:space="preserve">this proves change and improvement </w:t>
      </w:r>
      <w:r w:rsidR="002F2DBF">
        <w:rPr>
          <w:color w:val="000000"/>
        </w:rPr>
        <w:t>is</w:t>
      </w:r>
      <w:r w:rsidR="00274A49">
        <w:rPr>
          <w:color w:val="000000"/>
        </w:rPr>
        <w:t xml:space="preserve"> happening t</w:t>
      </w:r>
      <w:r w:rsidR="00E52068">
        <w:rPr>
          <w:color w:val="000000"/>
        </w:rPr>
        <w:t>here is still work to do.</w:t>
      </w:r>
    </w:p>
    <w:p w14:paraId="43B05E23" w14:textId="77777777" w:rsidR="00520C76" w:rsidRPr="00A11B1D" w:rsidRDefault="00520C76" w:rsidP="00615815">
      <w:pPr>
        <w:pStyle w:val="xxmsonormal"/>
        <w:spacing w:before="0" w:beforeAutospacing="0" w:after="0" w:afterAutospacing="0"/>
        <w:jc w:val="both"/>
        <w:textAlignment w:val="baseline"/>
        <w:rPr>
          <w:color w:val="000000"/>
        </w:rPr>
      </w:pPr>
    </w:p>
    <w:p w14:paraId="312F10B4" w14:textId="07FFE89D" w:rsidR="00F33F1E" w:rsidRPr="00DA5D64" w:rsidRDefault="001A1662" w:rsidP="00615815">
      <w:pPr>
        <w:pStyle w:val="xxmsonormal"/>
        <w:spacing w:before="0" w:beforeAutospacing="0" w:after="0" w:afterAutospacing="0"/>
        <w:jc w:val="both"/>
        <w:textAlignment w:val="baseline"/>
        <w:rPr>
          <w:rFonts w:ascii="Calibri" w:hAnsi="Calibri" w:cs="Calibri"/>
          <w:color w:val="323130"/>
        </w:rPr>
      </w:pPr>
      <w:r w:rsidRPr="00A11B1D">
        <w:rPr>
          <w:color w:val="000000"/>
        </w:rPr>
        <w:t xml:space="preserve">We suggest five </w:t>
      </w:r>
      <w:r w:rsidR="00DA5D64" w:rsidRPr="00A11B1D">
        <w:rPr>
          <w:color w:val="000000"/>
        </w:rPr>
        <w:t>elements which may</w:t>
      </w:r>
      <w:r w:rsidRPr="00A11B1D">
        <w:rPr>
          <w:color w:val="000000"/>
        </w:rPr>
        <w:t xml:space="preserve"> support this cultural change:</w:t>
      </w:r>
    </w:p>
    <w:p w14:paraId="2AFF8A02" w14:textId="035132B6" w:rsidR="00F33F1E" w:rsidRPr="00E85ED0" w:rsidRDefault="00520C76" w:rsidP="00FE4C24">
      <w:pPr>
        <w:pStyle w:val="ListParagraph"/>
        <w:numPr>
          <w:ilvl w:val="0"/>
          <w:numId w:val="2"/>
        </w:numPr>
        <w:spacing w:before="120" w:after="120" w:line="240" w:lineRule="auto"/>
        <w:jc w:val="both"/>
        <w:rPr>
          <w:sz w:val="24"/>
          <w:szCs w:val="24"/>
        </w:rPr>
      </w:pPr>
      <w:r>
        <w:rPr>
          <w:sz w:val="24"/>
          <w:szCs w:val="24"/>
        </w:rPr>
        <w:t xml:space="preserve">Expand </w:t>
      </w:r>
      <w:r w:rsidRPr="00FE4C24">
        <w:rPr>
          <w:b/>
          <w:bCs/>
          <w:sz w:val="24"/>
          <w:szCs w:val="24"/>
        </w:rPr>
        <w:t>co</w:t>
      </w:r>
      <w:r w:rsidR="00F33F1E" w:rsidRPr="00FE4C24">
        <w:rPr>
          <w:b/>
          <w:bCs/>
          <w:sz w:val="24"/>
          <w:szCs w:val="24"/>
        </w:rPr>
        <w:t>-</w:t>
      </w:r>
      <w:r w:rsidRPr="00FE4C24">
        <w:rPr>
          <w:b/>
          <w:bCs/>
          <w:sz w:val="24"/>
          <w:szCs w:val="24"/>
        </w:rPr>
        <w:t>creation</w:t>
      </w:r>
      <w:r w:rsidR="00017005">
        <w:rPr>
          <w:b/>
          <w:bCs/>
          <w:sz w:val="24"/>
          <w:szCs w:val="24"/>
        </w:rPr>
        <w:t xml:space="preserve"> of learning and assessment</w:t>
      </w:r>
    </w:p>
    <w:p w14:paraId="0527C4E8" w14:textId="77777777" w:rsidR="00017005" w:rsidRDefault="00017005" w:rsidP="002701BF">
      <w:pPr>
        <w:pStyle w:val="ListParagraph"/>
        <w:spacing w:before="120" w:after="120" w:line="240" w:lineRule="auto"/>
        <w:jc w:val="both"/>
        <w:rPr>
          <w:sz w:val="24"/>
          <w:szCs w:val="24"/>
        </w:rPr>
      </w:pPr>
    </w:p>
    <w:p w14:paraId="3453A222" w14:textId="4CAF8901" w:rsidR="007B7340" w:rsidRPr="00E85ED0" w:rsidRDefault="007C2E39" w:rsidP="00FE4C24">
      <w:pPr>
        <w:pStyle w:val="ListParagraph"/>
        <w:spacing w:before="120" w:after="120" w:line="240" w:lineRule="auto"/>
        <w:jc w:val="both"/>
        <w:rPr>
          <w:sz w:val="24"/>
          <w:szCs w:val="24"/>
        </w:rPr>
      </w:pPr>
      <w:r w:rsidRPr="00E85ED0">
        <w:rPr>
          <w:sz w:val="24"/>
          <w:szCs w:val="24"/>
        </w:rPr>
        <w:t xml:space="preserve">Involving students in owning their route to knowledge through interaction with live events or design of </w:t>
      </w:r>
      <w:r w:rsidR="00DF3E07" w:rsidRPr="00E85ED0">
        <w:rPr>
          <w:sz w:val="24"/>
          <w:szCs w:val="24"/>
        </w:rPr>
        <w:t>class-based</w:t>
      </w:r>
      <w:r w:rsidRPr="00E85ED0">
        <w:rPr>
          <w:sz w:val="24"/>
          <w:szCs w:val="24"/>
        </w:rPr>
        <w:t xml:space="preserve"> activities allows students the opportunity to apply knowledge and respond to the consequences of the decisions they make.</w:t>
      </w:r>
      <w:r w:rsidR="00650EB9" w:rsidRPr="00E85ED0">
        <w:rPr>
          <w:sz w:val="24"/>
          <w:szCs w:val="24"/>
        </w:rPr>
        <w:t xml:space="preserve"> </w:t>
      </w:r>
      <w:r w:rsidR="00E85ED0" w:rsidRPr="00E85ED0">
        <w:rPr>
          <w:sz w:val="24"/>
          <w:szCs w:val="24"/>
        </w:rPr>
        <w:t xml:space="preserve"> As students interact with the </w:t>
      </w:r>
      <w:r w:rsidR="008925AC" w:rsidRPr="00E85ED0">
        <w:rPr>
          <w:sz w:val="24"/>
          <w:szCs w:val="24"/>
        </w:rPr>
        <w:t>content,</w:t>
      </w:r>
      <w:r w:rsidR="00E85ED0" w:rsidRPr="00E85ED0">
        <w:rPr>
          <w:sz w:val="24"/>
          <w:szCs w:val="24"/>
        </w:rPr>
        <w:t xml:space="preserve"> they also shape </w:t>
      </w:r>
      <w:proofErr w:type="gramStart"/>
      <w:r w:rsidR="00E85ED0" w:rsidRPr="00E85ED0">
        <w:rPr>
          <w:sz w:val="24"/>
          <w:szCs w:val="24"/>
        </w:rPr>
        <w:t>it</w:t>
      </w:r>
      <w:proofErr w:type="gramEnd"/>
      <w:r w:rsidR="00E85ED0" w:rsidRPr="00E85ED0">
        <w:rPr>
          <w:sz w:val="24"/>
          <w:szCs w:val="24"/>
        </w:rPr>
        <w:t xml:space="preserve"> so t</w:t>
      </w:r>
      <w:r w:rsidR="00B371B6" w:rsidRPr="00E85ED0">
        <w:rPr>
          <w:sz w:val="24"/>
          <w:szCs w:val="24"/>
        </w:rPr>
        <w:t>he design of content and assessment requires a degree of flexibility to account for diversity of student responses while retaining coherence of final outcome</w:t>
      </w:r>
      <w:r w:rsidR="004B477A">
        <w:rPr>
          <w:sz w:val="24"/>
          <w:szCs w:val="24"/>
        </w:rPr>
        <w:t>s</w:t>
      </w:r>
      <w:r w:rsidR="00B371B6" w:rsidRPr="00E85ED0">
        <w:rPr>
          <w:sz w:val="24"/>
          <w:szCs w:val="24"/>
        </w:rPr>
        <w:t>. The benefits of student expression and voice add behavioural growth to academic knowledge and our question is s</w:t>
      </w:r>
      <w:r w:rsidR="00650EB9" w:rsidRPr="00E85ED0">
        <w:rPr>
          <w:sz w:val="24"/>
          <w:szCs w:val="24"/>
        </w:rPr>
        <w:t xml:space="preserve">hould academics be more of a knowledgeable facilitator, </w:t>
      </w:r>
      <w:r w:rsidRPr="00E85ED0">
        <w:rPr>
          <w:sz w:val="24"/>
          <w:szCs w:val="24"/>
        </w:rPr>
        <w:t>guiding</w:t>
      </w:r>
      <w:r w:rsidR="00650EB9" w:rsidRPr="00E85ED0">
        <w:rPr>
          <w:sz w:val="24"/>
          <w:szCs w:val="24"/>
        </w:rPr>
        <w:t>, signposting along the route</w:t>
      </w:r>
      <w:r w:rsidRPr="00E85ED0">
        <w:rPr>
          <w:sz w:val="24"/>
          <w:szCs w:val="24"/>
        </w:rPr>
        <w:t xml:space="preserve"> to the completion of an assessment task?</w:t>
      </w:r>
      <w:r w:rsidR="00520C76">
        <w:rPr>
          <w:sz w:val="24"/>
          <w:szCs w:val="24"/>
        </w:rPr>
        <w:t xml:space="preserve"> (</w:t>
      </w:r>
      <w:hyperlink r:id="rId6" w:history="1">
        <w:r w:rsidR="00520C76" w:rsidRPr="00520C76">
          <w:rPr>
            <w:rStyle w:val="Hyperlink"/>
            <w:sz w:val="24"/>
            <w:szCs w:val="24"/>
          </w:rPr>
          <w:t>read about inclusive approaches to co-creation here</w:t>
        </w:r>
      </w:hyperlink>
      <w:r w:rsidR="00520C76">
        <w:rPr>
          <w:sz w:val="24"/>
          <w:szCs w:val="24"/>
        </w:rPr>
        <w:t>).</w:t>
      </w:r>
    </w:p>
    <w:p w14:paraId="31819D69" w14:textId="77777777" w:rsidR="00E85ED0" w:rsidRDefault="00E85ED0" w:rsidP="00FE4C24">
      <w:pPr>
        <w:pStyle w:val="ListParagraph"/>
        <w:spacing w:before="120" w:after="120" w:line="240" w:lineRule="auto"/>
      </w:pPr>
    </w:p>
    <w:p w14:paraId="1D9E0019" w14:textId="77777777" w:rsidR="0040031F" w:rsidRPr="00E85ED0" w:rsidRDefault="0040031F" w:rsidP="00FE4C24">
      <w:pPr>
        <w:pStyle w:val="ListParagraph"/>
        <w:spacing w:before="120" w:after="120" w:line="240" w:lineRule="auto"/>
        <w:jc w:val="both"/>
        <w:rPr>
          <w:sz w:val="24"/>
          <w:szCs w:val="24"/>
        </w:rPr>
      </w:pPr>
    </w:p>
    <w:p w14:paraId="5EB61EE4" w14:textId="1DD64463" w:rsidR="00F33F1E" w:rsidRPr="00E85ED0" w:rsidRDefault="00520C76" w:rsidP="00FE4C24">
      <w:pPr>
        <w:pStyle w:val="ListParagraph"/>
        <w:numPr>
          <w:ilvl w:val="0"/>
          <w:numId w:val="2"/>
        </w:numPr>
        <w:spacing w:before="120" w:after="120" w:line="240" w:lineRule="auto"/>
        <w:jc w:val="both"/>
        <w:rPr>
          <w:rFonts w:cs="Times New Roman"/>
          <w:sz w:val="24"/>
          <w:szCs w:val="24"/>
        </w:rPr>
      </w:pPr>
      <w:r>
        <w:rPr>
          <w:rFonts w:cs="Times New Roman"/>
          <w:sz w:val="24"/>
          <w:szCs w:val="24"/>
        </w:rPr>
        <w:t xml:space="preserve">Expand </w:t>
      </w:r>
      <w:r w:rsidRPr="00FE4C24">
        <w:rPr>
          <w:rFonts w:cs="Times New Roman"/>
          <w:b/>
          <w:bCs/>
          <w:sz w:val="24"/>
          <w:szCs w:val="24"/>
        </w:rPr>
        <w:t>student-</w:t>
      </w:r>
      <w:r w:rsidR="001A1662" w:rsidRPr="00FE4C24">
        <w:rPr>
          <w:rFonts w:cs="Times New Roman"/>
          <w:b/>
          <w:bCs/>
          <w:sz w:val="24"/>
          <w:szCs w:val="24"/>
        </w:rPr>
        <w:t>as</w:t>
      </w:r>
      <w:r w:rsidRPr="00FE4C24">
        <w:rPr>
          <w:rFonts w:cs="Times New Roman"/>
          <w:b/>
          <w:bCs/>
          <w:sz w:val="24"/>
          <w:szCs w:val="24"/>
        </w:rPr>
        <w:t>-</w:t>
      </w:r>
      <w:r w:rsidR="00AD1D8E" w:rsidRPr="00FE4C24">
        <w:rPr>
          <w:rFonts w:cs="Times New Roman"/>
          <w:b/>
          <w:bCs/>
          <w:sz w:val="24"/>
          <w:szCs w:val="24"/>
        </w:rPr>
        <w:t>p</w:t>
      </w:r>
      <w:r w:rsidR="001A1662" w:rsidRPr="00FE4C24">
        <w:rPr>
          <w:rFonts w:cs="Times New Roman"/>
          <w:b/>
          <w:bCs/>
          <w:sz w:val="24"/>
          <w:szCs w:val="24"/>
        </w:rPr>
        <w:t>artners</w:t>
      </w:r>
      <w:r w:rsidR="001A1662" w:rsidRPr="00E85ED0">
        <w:rPr>
          <w:rFonts w:cs="Times New Roman"/>
          <w:sz w:val="24"/>
          <w:szCs w:val="24"/>
        </w:rPr>
        <w:t xml:space="preserve"> and </w:t>
      </w:r>
      <w:r w:rsidR="00AD1D8E">
        <w:rPr>
          <w:rFonts w:cs="Times New Roman"/>
          <w:sz w:val="24"/>
          <w:szCs w:val="24"/>
        </w:rPr>
        <w:t>p</w:t>
      </w:r>
      <w:r w:rsidR="00F33F1E" w:rsidRPr="00E85ED0">
        <w:rPr>
          <w:rFonts w:cs="Times New Roman"/>
          <w:sz w:val="24"/>
          <w:szCs w:val="24"/>
        </w:rPr>
        <w:t>eer</w:t>
      </w:r>
      <w:r>
        <w:rPr>
          <w:rFonts w:cs="Times New Roman"/>
          <w:sz w:val="24"/>
          <w:szCs w:val="24"/>
        </w:rPr>
        <w:t>-</w:t>
      </w:r>
      <w:r w:rsidR="00AD1D8E">
        <w:rPr>
          <w:rFonts w:cs="Times New Roman"/>
          <w:sz w:val="24"/>
          <w:szCs w:val="24"/>
        </w:rPr>
        <w:t>s</w:t>
      </w:r>
      <w:r w:rsidR="00F33F1E" w:rsidRPr="00E85ED0">
        <w:rPr>
          <w:rFonts w:cs="Times New Roman"/>
          <w:sz w:val="24"/>
          <w:szCs w:val="24"/>
        </w:rPr>
        <w:t>ocial</w:t>
      </w:r>
      <w:r>
        <w:rPr>
          <w:rFonts w:cs="Times New Roman"/>
          <w:sz w:val="24"/>
          <w:szCs w:val="24"/>
        </w:rPr>
        <w:t>-</w:t>
      </w:r>
      <w:r w:rsidR="00F33F1E" w:rsidRPr="00E85ED0">
        <w:rPr>
          <w:rFonts w:cs="Times New Roman"/>
          <w:sz w:val="24"/>
          <w:szCs w:val="24"/>
        </w:rPr>
        <w:t>learning</w:t>
      </w:r>
      <w:r w:rsidR="001A1662" w:rsidRPr="00E85ED0">
        <w:rPr>
          <w:rFonts w:cs="Times New Roman"/>
          <w:sz w:val="24"/>
          <w:szCs w:val="24"/>
        </w:rPr>
        <w:t xml:space="preserve"> </w:t>
      </w:r>
    </w:p>
    <w:p w14:paraId="6E8558E5" w14:textId="6A22E8D0" w:rsidR="00650EB9" w:rsidRPr="00356B84" w:rsidRDefault="001A1662" w:rsidP="00356B84">
      <w:pPr>
        <w:spacing w:line="240" w:lineRule="auto"/>
        <w:ind w:left="720"/>
        <w:jc w:val="both"/>
        <w:rPr>
          <w:rFonts w:cs="Times New Roman"/>
          <w:color w:val="000000"/>
          <w:sz w:val="24"/>
          <w:szCs w:val="24"/>
        </w:rPr>
      </w:pPr>
      <w:r w:rsidRPr="00E85ED0">
        <w:rPr>
          <w:rFonts w:cs="Times New Roman"/>
          <w:color w:val="000000"/>
          <w:sz w:val="24"/>
          <w:szCs w:val="24"/>
        </w:rPr>
        <w:t xml:space="preserve">Students are </w:t>
      </w:r>
      <w:r w:rsidR="00E85ED0" w:rsidRPr="00E85ED0">
        <w:rPr>
          <w:rFonts w:cs="Times New Roman"/>
          <w:color w:val="000000"/>
          <w:sz w:val="24"/>
          <w:szCs w:val="24"/>
        </w:rPr>
        <w:t xml:space="preserve">successful when they are </w:t>
      </w:r>
      <w:r w:rsidRPr="00E85ED0">
        <w:rPr>
          <w:rFonts w:cs="Times New Roman"/>
          <w:color w:val="000000"/>
          <w:sz w:val="24"/>
          <w:szCs w:val="24"/>
        </w:rPr>
        <w:t>partners</w:t>
      </w:r>
      <w:r w:rsidR="00E85ED0" w:rsidRPr="00E85ED0">
        <w:rPr>
          <w:rFonts w:cs="Times New Roman"/>
          <w:color w:val="000000"/>
          <w:sz w:val="24"/>
          <w:szCs w:val="24"/>
        </w:rPr>
        <w:t xml:space="preserve"> in their own learning journe</w:t>
      </w:r>
      <w:r w:rsidR="00423D54">
        <w:rPr>
          <w:rFonts w:cs="Times New Roman"/>
          <w:color w:val="000000"/>
          <w:sz w:val="24"/>
          <w:szCs w:val="24"/>
        </w:rPr>
        <w:t>y</w:t>
      </w:r>
      <w:r w:rsidR="00E85ED0" w:rsidRPr="00E85ED0">
        <w:rPr>
          <w:rFonts w:cs="Times New Roman"/>
          <w:color w:val="000000"/>
          <w:sz w:val="24"/>
          <w:szCs w:val="24"/>
        </w:rPr>
        <w:t>.</w:t>
      </w:r>
      <w:r w:rsidRPr="00E85ED0">
        <w:rPr>
          <w:rFonts w:cs="Times New Roman"/>
          <w:color w:val="000000"/>
          <w:sz w:val="24"/>
          <w:szCs w:val="24"/>
        </w:rPr>
        <w:t xml:space="preserve"> </w:t>
      </w:r>
      <w:r w:rsidR="00E85ED0" w:rsidRPr="00E85ED0">
        <w:rPr>
          <w:rFonts w:cs="Times New Roman"/>
          <w:color w:val="000000"/>
          <w:sz w:val="24"/>
          <w:szCs w:val="24"/>
        </w:rPr>
        <w:t>Joining a gym</w:t>
      </w:r>
      <w:r w:rsidRPr="00E85ED0">
        <w:rPr>
          <w:rFonts w:cs="Times New Roman"/>
          <w:color w:val="000000"/>
          <w:sz w:val="24"/>
          <w:szCs w:val="24"/>
        </w:rPr>
        <w:t xml:space="preserve"> won’t </w:t>
      </w:r>
      <w:r w:rsidR="00E85ED0" w:rsidRPr="00E85ED0">
        <w:rPr>
          <w:rFonts w:cs="Times New Roman"/>
          <w:color w:val="000000"/>
          <w:sz w:val="24"/>
          <w:szCs w:val="24"/>
        </w:rPr>
        <w:t xml:space="preserve">result in fitness without regular effort and engagement with </w:t>
      </w:r>
      <w:r w:rsidR="00BA1A57" w:rsidRPr="00E85ED0">
        <w:rPr>
          <w:rFonts w:cs="Times New Roman"/>
          <w:color w:val="000000"/>
          <w:sz w:val="24"/>
          <w:szCs w:val="24"/>
        </w:rPr>
        <w:t>exercise.</w:t>
      </w:r>
      <w:r w:rsidRPr="00E85ED0">
        <w:rPr>
          <w:rFonts w:cs="Times New Roman"/>
          <w:color w:val="000000"/>
          <w:sz w:val="24"/>
          <w:szCs w:val="24"/>
        </w:rPr>
        <w:t xml:space="preserve"> The same principle applies to engagement and involvement in HE</w:t>
      </w:r>
      <w:r w:rsidR="0082406E">
        <w:rPr>
          <w:rFonts w:cs="Times New Roman"/>
          <w:color w:val="000000"/>
          <w:sz w:val="24"/>
          <w:szCs w:val="24"/>
        </w:rPr>
        <w:t>.</w:t>
      </w:r>
      <w:r w:rsidR="00FE7722">
        <w:rPr>
          <w:rFonts w:cs="Times New Roman"/>
          <w:color w:val="000000"/>
          <w:sz w:val="24"/>
          <w:szCs w:val="24"/>
        </w:rPr>
        <w:t xml:space="preserve"> </w:t>
      </w:r>
      <w:r w:rsidR="00363363">
        <w:rPr>
          <w:rFonts w:cs="Times New Roman"/>
          <w:color w:val="000000"/>
          <w:sz w:val="24"/>
          <w:szCs w:val="24"/>
        </w:rPr>
        <w:t>It has been found</w:t>
      </w:r>
      <w:r w:rsidR="00A1322B">
        <w:rPr>
          <w:rFonts w:cs="Times New Roman"/>
          <w:color w:val="000000"/>
          <w:sz w:val="24"/>
          <w:szCs w:val="24"/>
        </w:rPr>
        <w:t xml:space="preserve"> by practitioners</w:t>
      </w:r>
      <w:r w:rsidR="00363363">
        <w:rPr>
          <w:rFonts w:cs="Times New Roman"/>
          <w:color w:val="000000"/>
          <w:sz w:val="24"/>
          <w:szCs w:val="24"/>
        </w:rPr>
        <w:t xml:space="preserve"> (Cecchinato and </w:t>
      </w:r>
      <w:r w:rsidR="00F22616" w:rsidRPr="00F22616">
        <w:rPr>
          <w:rFonts w:cs="Times New Roman"/>
          <w:color w:val="000000"/>
          <w:sz w:val="24"/>
          <w:szCs w:val="24"/>
        </w:rPr>
        <w:t>Foschi</w:t>
      </w:r>
      <w:r w:rsidR="0082406E">
        <w:rPr>
          <w:rFonts w:cs="Times New Roman"/>
          <w:color w:val="000000"/>
          <w:sz w:val="24"/>
          <w:szCs w:val="24"/>
        </w:rPr>
        <w:t>, 2017</w:t>
      </w:r>
      <w:r w:rsidR="00454CFA">
        <w:rPr>
          <w:rFonts w:cs="Times New Roman"/>
          <w:color w:val="000000"/>
          <w:sz w:val="24"/>
          <w:szCs w:val="24"/>
        </w:rPr>
        <w:t xml:space="preserve">) </w:t>
      </w:r>
      <w:r w:rsidR="004B6CF9">
        <w:rPr>
          <w:rFonts w:cs="Times New Roman"/>
          <w:color w:val="000000"/>
          <w:sz w:val="24"/>
          <w:szCs w:val="24"/>
        </w:rPr>
        <w:t xml:space="preserve">that they </w:t>
      </w:r>
      <w:r w:rsidR="00356B84" w:rsidRPr="00356B84">
        <w:rPr>
          <w:rFonts w:cs="Times New Roman"/>
          <w:color w:val="000000"/>
          <w:sz w:val="24"/>
          <w:szCs w:val="24"/>
        </w:rPr>
        <w:t xml:space="preserve">increased the effectiveness of </w:t>
      </w:r>
      <w:r w:rsidR="00356B84">
        <w:rPr>
          <w:rFonts w:cs="Times New Roman"/>
          <w:color w:val="000000"/>
          <w:sz w:val="24"/>
          <w:szCs w:val="24"/>
        </w:rPr>
        <w:t>a</w:t>
      </w:r>
      <w:r w:rsidR="00356B84" w:rsidRPr="00356B84">
        <w:rPr>
          <w:rFonts w:cs="Times New Roman"/>
          <w:color w:val="000000"/>
          <w:sz w:val="24"/>
          <w:szCs w:val="24"/>
        </w:rPr>
        <w:t xml:space="preserve"> course and </w:t>
      </w:r>
      <w:r w:rsidR="002E734E">
        <w:rPr>
          <w:rFonts w:cs="Times New Roman"/>
          <w:color w:val="000000"/>
          <w:sz w:val="24"/>
          <w:szCs w:val="24"/>
        </w:rPr>
        <w:t xml:space="preserve">improvement </w:t>
      </w:r>
      <w:r w:rsidR="00356B84" w:rsidRPr="00356B84">
        <w:rPr>
          <w:rFonts w:cs="Times New Roman"/>
          <w:color w:val="000000"/>
          <w:sz w:val="24"/>
          <w:szCs w:val="24"/>
        </w:rPr>
        <w:t>some of</w:t>
      </w:r>
      <w:r w:rsidR="00356B84">
        <w:rPr>
          <w:rFonts w:cs="Times New Roman"/>
          <w:color w:val="000000"/>
          <w:sz w:val="24"/>
          <w:szCs w:val="24"/>
        </w:rPr>
        <w:t xml:space="preserve"> </w:t>
      </w:r>
      <w:r w:rsidR="00356B84" w:rsidRPr="00356B84">
        <w:rPr>
          <w:rFonts w:cs="Times New Roman"/>
          <w:color w:val="000000"/>
          <w:sz w:val="24"/>
          <w:szCs w:val="24"/>
        </w:rPr>
        <w:t>its crucial aspects</w:t>
      </w:r>
      <w:r w:rsidR="00A1322B">
        <w:rPr>
          <w:rFonts w:cs="Times New Roman"/>
          <w:color w:val="000000"/>
          <w:sz w:val="24"/>
          <w:szCs w:val="24"/>
        </w:rPr>
        <w:t xml:space="preserve"> by </w:t>
      </w:r>
      <w:r w:rsidR="00610CEF">
        <w:rPr>
          <w:rFonts w:cs="Times New Roman"/>
          <w:color w:val="000000"/>
          <w:sz w:val="24"/>
          <w:szCs w:val="24"/>
        </w:rPr>
        <w:t>d</w:t>
      </w:r>
      <w:r w:rsidR="00610CEF" w:rsidRPr="00610CEF">
        <w:rPr>
          <w:rFonts w:cs="Times New Roman"/>
          <w:color w:val="000000"/>
          <w:sz w:val="24"/>
          <w:szCs w:val="24"/>
        </w:rPr>
        <w:t>iscarding frontal teaching in favour of an active and experiential learning strategy</w:t>
      </w:r>
      <w:r w:rsidR="00A1322B">
        <w:rPr>
          <w:rFonts w:cs="Times New Roman"/>
          <w:color w:val="000000"/>
          <w:sz w:val="24"/>
          <w:szCs w:val="24"/>
        </w:rPr>
        <w:t xml:space="preserve"> inspired by the flipped classroom method</w:t>
      </w:r>
      <w:r w:rsidRPr="00E85ED0">
        <w:rPr>
          <w:rFonts w:cs="Times New Roman"/>
          <w:color w:val="000000"/>
          <w:sz w:val="24"/>
          <w:szCs w:val="24"/>
        </w:rPr>
        <w:t>. This</w:t>
      </w:r>
      <w:r w:rsidR="00E85ED0" w:rsidRPr="00E85ED0">
        <w:rPr>
          <w:rFonts w:cs="Times New Roman"/>
          <w:color w:val="000000"/>
          <w:sz w:val="24"/>
          <w:szCs w:val="24"/>
        </w:rPr>
        <w:t xml:space="preserve"> partnership</w:t>
      </w:r>
      <w:r w:rsidRPr="00E85ED0">
        <w:rPr>
          <w:rFonts w:cs="Times New Roman"/>
          <w:color w:val="000000"/>
          <w:sz w:val="24"/>
          <w:szCs w:val="24"/>
        </w:rPr>
        <w:t xml:space="preserve"> approach should be highlighted to students as soon as they start their course and reinforced throughout their university journey. Treating students as partners can enable them to take responsibility for their learning</w:t>
      </w:r>
      <w:r w:rsidR="00E85ED0" w:rsidRPr="00E85ED0">
        <w:rPr>
          <w:rFonts w:cs="Times New Roman"/>
          <w:color w:val="000000"/>
          <w:sz w:val="24"/>
          <w:szCs w:val="24"/>
        </w:rPr>
        <w:t>,</w:t>
      </w:r>
      <w:r w:rsidRPr="00E85ED0">
        <w:rPr>
          <w:rFonts w:cs="Times New Roman"/>
          <w:color w:val="000000"/>
          <w:sz w:val="24"/>
          <w:szCs w:val="24"/>
        </w:rPr>
        <w:t xml:space="preserve"> moving them away from reliance on more passive learning models. </w:t>
      </w:r>
      <w:r w:rsidR="00650EB9" w:rsidRPr="00E85ED0">
        <w:rPr>
          <w:rFonts w:cs="Times New Roman"/>
          <w:sz w:val="24"/>
          <w:szCs w:val="24"/>
        </w:rPr>
        <w:t>This is more than just group work, the understanding from students and lecturers that everyone has something they can bring to the party, is an invaluable notion</w:t>
      </w:r>
      <w:r w:rsidR="00763283">
        <w:rPr>
          <w:rFonts w:cs="Times New Roman"/>
          <w:sz w:val="24"/>
          <w:szCs w:val="24"/>
        </w:rPr>
        <w:t xml:space="preserve"> (</w:t>
      </w:r>
      <w:r w:rsidR="00D4250C">
        <w:rPr>
          <w:rFonts w:cs="Times New Roman"/>
          <w:sz w:val="24"/>
          <w:szCs w:val="24"/>
        </w:rPr>
        <w:t>Wall and Tran, 2016</w:t>
      </w:r>
      <w:r w:rsidR="00763283">
        <w:rPr>
          <w:rFonts w:cs="Times New Roman"/>
          <w:sz w:val="24"/>
          <w:szCs w:val="24"/>
        </w:rPr>
        <w:t>)</w:t>
      </w:r>
      <w:r w:rsidR="00650EB9" w:rsidRPr="00E85ED0">
        <w:rPr>
          <w:rFonts w:cs="Times New Roman"/>
          <w:sz w:val="24"/>
          <w:szCs w:val="24"/>
        </w:rPr>
        <w:t>.</w:t>
      </w:r>
      <w:r w:rsidR="008503AA">
        <w:rPr>
          <w:rFonts w:cs="Times New Roman"/>
          <w:sz w:val="24"/>
          <w:szCs w:val="24"/>
        </w:rPr>
        <w:t xml:space="preserve"> </w:t>
      </w:r>
      <w:r w:rsidR="0069797F" w:rsidRPr="00E85ED0">
        <w:rPr>
          <w:rFonts w:eastAsia="Times New Roman" w:cs="Times New Roman"/>
          <w:color w:val="000000"/>
          <w:sz w:val="24"/>
          <w:szCs w:val="24"/>
          <w:lang w:eastAsia="en-GB"/>
        </w:rPr>
        <w:t>Social learning, aided by the right technology, can create a fun and interesting environment for students to learn. As well as developing some key social skills, learning takes place in all directions and allows students to be part of a community. It also helps students who a</w:t>
      </w:r>
      <w:r w:rsidR="00F9668C">
        <w:rPr>
          <w:rFonts w:eastAsia="Times New Roman" w:cs="Times New Roman"/>
          <w:color w:val="000000"/>
          <w:sz w:val="24"/>
          <w:szCs w:val="24"/>
          <w:lang w:eastAsia="en-GB"/>
        </w:rPr>
        <w:t>r</w:t>
      </w:r>
      <w:r w:rsidR="0069797F" w:rsidRPr="00E85ED0">
        <w:rPr>
          <w:rFonts w:eastAsia="Times New Roman" w:cs="Times New Roman"/>
          <w:color w:val="000000"/>
          <w:sz w:val="24"/>
          <w:szCs w:val="24"/>
          <w:lang w:eastAsia="en-GB"/>
        </w:rPr>
        <w:t xml:space="preserve">e struggling to get going, feel confident and value their ideas </w:t>
      </w:r>
      <w:proofErr w:type="gramStart"/>
      <w:r w:rsidR="0069797F" w:rsidRPr="00E85ED0">
        <w:rPr>
          <w:rFonts w:eastAsia="Times New Roman" w:cs="Times New Roman"/>
          <w:color w:val="000000"/>
          <w:sz w:val="24"/>
          <w:szCs w:val="24"/>
          <w:lang w:eastAsia="en-GB"/>
        </w:rPr>
        <w:t>as long as</w:t>
      </w:r>
      <w:proofErr w:type="gramEnd"/>
      <w:r w:rsidR="0069797F" w:rsidRPr="00E85ED0">
        <w:rPr>
          <w:rFonts w:eastAsia="Times New Roman" w:cs="Times New Roman"/>
          <w:color w:val="000000"/>
          <w:sz w:val="24"/>
          <w:szCs w:val="24"/>
          <w:lang w:eastAsia="en-GB"/>
        </w:rPr>
        <w:t xml:space="preserve"> they feel safe and supported.</w:t>
      </w:r>
    </w:p>
    <w:p w14:paraId="27698F47" w14:textId="77777777" w:rsidR="00E85ED0" w:rsidRPr="00E85ED0" w:rsidRDefault="00E85ED0" w:rsidP="00FE4C24">
      <w:pPr>
        <w:spacing w:line="240" w:lineRule="auto"/>
        <w:ind w:left="720"/>
        <w:jc w:val="both"/>
        <w:rPr>
          <w:rFonts w:eastAsia="Times New Roman" w:cs="Times New Roman"/>
          <w:sz w:val="24"/>
          <w:szCs w:val="24"/>
          <w:lang w:eastAsia="en-GB"/>
        </w:rPr>
      </w:pPr>
    </w:p>
    <w:p w14:paraId="520CA69D" w14:textId="38EEA610" w:rsidR="00F33F1E" w:rsidRDefault="000D1619" w:rsidP="00FE4C24">
      <w:pPr>
        <w:pStyle w:val="ListParagraph"/>
        <w:numPr>
          <w:ilvl w:val="0"/>
          <w:numId w:val="2"/>
        </w:numPr>
        <w:spacing w:before="120" w:after="120" w:line="240" w:lineRule="auto"/>
        <w:rPr>
          <w:sz w:val="24"/>
          <w:szCs w:val="24"/>
        </w:rPr>
      </w:pPr>
      <w:r>
        <w:rPr>
          <w:sz w:val="24"/>
          <w:szCs w:val="24"/>
        </w:rPr>
        <w:t xml:space="preserve">Expand multiple </w:t>
      </w:r>
      <w:r w:rsidRPr="00FE4C24">
        <w:rPr>
          <w:b/>
          <w:bCs/>
          <w:sz w:val="24"/>
          <w:szCs w:val="24"/>
        </w:rPr>
        <w:t>routes</w:t>
      </w:r>
      <w:r>
        <w:rPr>
          <w:sz w:val="24"/>
          <w:szCs w:val="24"/>
        </w:rPr>
        <w:t xml:space="preserve"> to reach outcomes </w:t>
      </w:r>
    </w:p>
    <w:p w14:paraId="3CB1F91C" w14:textId="77777777" w:rsidR="00E85ED0" w:rsidRPr="00E85ED0" w:rsidRDefault="00E85ED0" w:rsidP="00FE4C24">
      <w:pPr>
        <w:pStyle w:val="ListParagraph"/>
        <w:spacing w:before="120" w:after="120" w:line="240" w:lineRule="auto"/>
        <w:jc w:val="both"/>
        <w:rPr>
          <w:sz w:val="24"/>
          <w:szCs w:val="24"/>
        </w:rPr>
      </w:pPr>
    </w:p>
    <w:p w14:paraId="60C44513" w14:textId="366588B5" w:rsidR="005A15C3" w:rsidRDefault="00650EB9" w:rsidP="002701BF">
      <w:pPr>
        <w:pStyle w:val="ListParagraph"/>
        <w:spacing w:before="120" w:after="120" w:line="240" w:lineRule="auto"/>
        <w:jc w:val="both"/>
        <w:rPr>
          <w:sz w:val="24"/>
          <w:szCs w:val="24"/>
        </w:rPr>
      </w:pPr>
      <w:r w:rsidRPr="00E85ED0">
        <w:rPr>
          <w:sz w:val="24"/>
          <w:szCs w:val="24"/>
        </w:rPr>
        <w:t>If we continue with the concept of a learning journey, we need to consider the route</w:t>
      </w:r>
      <w:r w:rsidR="00E85ED0" w:rsidRPr="00E85ED0">
        <w:rPr>
          <w:sz w:val="24"/>
          <w:szCs w:val="24"/>
        </w:rPr>
        <w:t>.</w:t>
      </w:r>
      <w:r w:rsidRPr="00E85ED0">
        <w:rPr>
          <w:sz w:val="24"/>
          <w:szCs w:val="24"/>
        </w:rPr>
        <w:t xml:space="preserve"> </w:t>
      </w:r>
      <w:r w:rsidR="00E85ED0" w:rsidRPr="00E85ED0">
        <w:rPr>
          <w:sz w:val="24"/>
          <w:szCs w:val="24"/>
        </w:rPr>
        <w:t>If we consider the students as partners and co-</w:t>
      </w:r>
      <w:r w:rsidR="00F464C4" w:rsidRPr="00E85ED0">
        <w:rPr>
          <w:sz w:val="24"/>
          <w:szCs w:val="24"/>
        </w:rPr>
        <w:t>creators,</w:t>
      </w:r>
      <w:r w:rsidR="00E85ED0" w:rsidRPr="00E85ED0">
        <w:rPr>
          <w:sz w:val="24"/>
          <w:szCs w:val="24"/>
        </w:rPr>
        <w:t xml:space="preserve"> then understanding that there may be different ways of reaching an end point becomes critical to student responsibility for learning</w:t>
      </w:r>
      <w:r w:rsidRPr="00E85ED0">
        <w:rPr>
          <w:sz w:val="24"/>
          <w:szCs w:val="24"/>
        </w:rPr>
        <w:t xml:space="preserve">. </w:t>
      </w:r>
      <w:r w:rsidR="00E85ED0" w:rsidRPr="00E85ED0">
        <w:rPr>
          <w:sz w:val="24"/>
          <w:szCs w:val="24"/>
        </w:rPr>
        <w:t>Academics will have designed the content structure,</w:t>
      </w:r>
      <w:r w:rsidRPr="00E85ED0">
        <w:rPr>
          <w:sz w:val="24"/>
          <w:szCs w:val="24"/>
        </w:rPr>
        <w:t xml:space="preserve"> </w:t>
      </w:r>
      <w:r w:rsidR="00FC5BA0" w:rsidRPr="00E85ED0">
        <w:rPr>
          <w:sz w:val="24"/>
          <w:szCs w:val="24"/>
        </w:rPr>
        <w:t>will</w:t>
      </w:r>
      <w:r w:rsidRPr="00E85ED0">
        <w:rPr>
          <w:sz w:val="24"/>
          <w:szCs w:val="24"/>
        </w:rPr>
        <w:t xml:space="preserve"> know the start and end, but between those two points there are many different paths</w:t>
      </w:r>
      <w:r w:rsidR="00FC5BA0" w:rsidRPr="00E85ED0">
        <w:rPr>
          <w:sz w:val="24"/>
          <w:szCs w:val="24"/>
        </w:rPr>
        <w:t xml:space="preserve">. The selection of the path should be that of the student, exploring through experimentation and co-creation, using peer </w:t>
      </w:r>
      <w:proofErr w:type="gramStart"/>
      <w:r w:rsidR="00FC5BA0" w:rsidRPr="00E85ED0">
        <w:rPr>
          <w:sz w:val="24"/>
          <w:szCs w:val="24"/>
        </w:rPr>
        <w:t>learning</w:t>
      </w:r>
      <w:proofErr w:type="gramEnd"/>
      <w:r w:rsidR="00FC5BA0" w:rsidRPr="00E85ED0">
        <w:rPr>
          <w:sz w:val="24"/>
          <w:szCs w:val="24"/>
        </w:rPr>
        <w:t xml:space="preserve"> and being treated as an equal to cho</w:t>
      </w:r>
      <w:r w:rsidR="003E7AF1" w:rsidRPr="00E85ED0">
        <w:rPr>
          <w:sz w:val="24"/>
          <w:szCs w:val="24"/>
        </w:rPr>
        <w:t>o</w:t>
      </w:r>
      <w:r w:rsidR="00FC5BA0" w:rsidRPr="00E85ED0">
        <w:rPr>
          <w:sz w:val="24"/>
          <w:szCs w:val="24"/>
        </w:rPr>
        <w:t xml:space="preserve">se and optimize the best route for them. What is to be optimized is also in the students’ control, </w:t>
      </w:r>
      <w:r w:rsidR="00E85ED0" w:rsidRPr="00E85ED0">
        <w:rPr>
          <w:sz w:val="24"/>
          <w:szCs w:val="24"/>
        </w:rPr>
        <w:t>be</w:t>
      </w:r>
      <w:r w:rsidR="00FC5BA0" w:rsidRPr="00E85ED0">
        <w:rPr>
          <w:sz w:val="24"/>
          <w:szCs w:val="24"/>
        </w:rPr>
        <w:t xml:space="preserve"> it </w:t>
      </w:r>
      <w:r w:rsidR="001A1662" w:rsidRPr="00E85ED0">
        <w:rPr>
          <w:sz w:val="24"/>
          <w:szCs w:val="24"/>
        </w:rPr>
        <w:t>t</w:t>
      </w:r>
      <w:r w:rsidR="00FC5BA0" w:rsidRPr="00E85ED0">
        <w:rPr>
          <w:sz w:val="24"/>
          <w:szCs w:val="24"/>
        </w:rPr>
        <w:t xml:space="preserve">ime, </w:t>
      </w:r>
      <w:r w:rsidR="001A1662" w:rsidRPr="00E85ED0">
        <w:rPr>
          <w:sz w:val="24"/>
          <w:szCs w:val="24"/>
        </w:rPr>
        <w:t>e</w:t>
      </w:r>
      <w:r w:rsidR="00FC5BA0" w:rsidRPr="00E85ED0">
        <w:rPr>
          <w:sz w:val="24"/>
          <w:szCs w:val="24"/>
        </w:rPr>
        <w:t>xperiences,</w:t>
      </w:r>
      <w:r w:rsidR="003E7AF1" w:rsidRPr="00E85ED0">
        <w:rPr>
          <w:sz w:val="24"/>
          <w:szCs w:val="24"/>
        </w:rPr>
        <w:t xml:space="preserve"> opportunities, all of these</w:t>
      </w:r>
      <w:r w:rsidR="00FC5BA0" w:rsidRPr="00E85ED0">
        <w:rPr>
          <w:sz w:val="24"/>
          <w:szCs w:val="24"/>
        </w:rPr>
        <w:t xml:space="preserve"> or something else. In theory it may change for the student at each step</w:t>
      </w:r>
      <w:r w:rsidR="000530B7" w:rsidRPr="00E85ED0">
        <w:rPr>
          <w:sz w:val="24"/>
          <w:szCs w:val="24"/>
        </w:rPr>
        <w:t>, producing a richly complex and bespoke experience.</w:t>
      </w:r>
      <w:r w:rsidR="001A1662">
        <w:t xml:space="preserve"> </w:t>
      </w:r>
      <w:r w:rsidR="005A15C3" w:rsidRPr="0062251B">
        <w:rPr>
          <w:sz w:val="24"/>
          <w:szCs w:val="24"/>
        </w:rPr>
        <w:t xml:space="preserve">The </w:t>
      </w:r>
      <w:r w:rsidR="00E85ED0" w:rsidRPr="0062251B">
        <w:rPr>
          <w:sz w:val="24"/>
          <w:szCs w:val="24"/>
        </w:rPr>
        <w:t>destination may be reached by longer or shorter routes with different pauses for support, additional knowledge or the life needs of differing students.</w:t>
      </w:r>
      <w:r w:rsidR="005A15C3" w:rsidRPr="0062251B">
        <w:rPr>
          <w:sz w:val="24"/>
          <w:szCs w:val="24"/>
        </w:rPr>
        <w:t xml:space="preserve"> </w:t>
      </w:r>
      <w:r w:rsidR="00E85ED0" w:rsidRPr="0062251B">
        <w:rPr>
          <w:sz w:val="24"/>
          <w:szCs w:val="24"/>
        </w:rPr>
        <w:t>S</w:t>
      </w:r>
      <w:r w:rsidR="005A15C3" w:rsidRPr="0062251B">
        <w:rPr>
          <w:sz w:val="24"/>
          <w:szCs w:val="24"/>
        </w:rPr>
        <w:t xml:space="preserve">o, if a student has a list of </w:t>
      </w:r>
      <w:r w:rsidR="00BE4EE8" w:rsidRPr="0062251B">
        <w:rPr>
          <w:sz w:val="24"/>
          <w:szCs w:val="24"/>
        </w:rPr>
        <w:t>activities</w:t>
      </w:r>
      <w:r w:rsidR="005A15C3" w:rsidRPr="0062251B">
        <w:rPr>
          <w:sz w:val="24"/>
          <w:szCs w:val="24"/>
        </w:rPr>
        <w:t xml:space="preserve"> and step</w:t>
      </w:r>
      <w:r w:rsidR="00E85ED0" w:rsidRPr="0062251B">
        <w:rPr>
          <w:sz w:val="24"/>
          <w:szCs w:val="24"/>
        </w:rPr>
        <w:t>s</w:t>
      </w:r>
      <w:r w:rsidR="005A15C3" w:rsidRPr="0062251B">
        <w:rPr>
          <w:sz w:val="24"/>
          <w:szCs w:val="24"/>
        </w:rPr>
        <w:t xml:space="preserve"> required </w:t>
      </w:r>
      <w:r w:rsidR="00E85ED0" w:rsidRPr="0062251B">
        <w:rPr>
          <w:sz w:val="24"/>
          <w:szCs w:val="24"/>
        </w:rPr>
        <w:t xml:space="preserve">to reach their destination </w:t>
      </w:r>
      <w:r w:rsidR="005A15C3" w:rsidRPr="0062251B">
        <w:rPr>
          <w:sz w:val="24"/>
          <w:szCs w:val="24"/>
        </w:rPr>
        <w:t xml:space="preserve">between them, their </w:t>
      </w:r>
      <w:r w:rsidR="00E85ED0" w:rsidRPr="0062251B">
        <w:rPr>
          <w:sz w:val="24"/>
          <w:szCs w:val="24"/>
        </w:rPr>
        <w:t xml:space="preserve">choice of path be it circuitous, </w:t>
      </w:r>
      <w:proofErr w:type="gramStart"/>
      <w:r w:rsidR="00E85ED0" w:rsidRPr="0062251B">
        <w:rPr>
          <w:sz w:val="24"/>
          <w:szCs w:val="24"/>
        </w:rPr>
        <w:t>longer</w:t>
      </w:r>
      <w:proofErr w:type="gramEnd"/>
      <w:r w:rsidR="00E85ED0" w:rsidRPr="0062251B">
        <w:rPr>
          <w:sz w:val="24"/>
          <w:szCs w:val="24"/>
        </w:rPr>
        <w:t xml:space="preserve"> or shorter, will </w:t>
      </w:r>
      <w:r w:rsidR="005A15C3" w:rsidRPr="0062251B">
        <w:rPr>
          <w:sz w:val="24"/>
          <w:szCs w:val="24"/>
        </w:rPr>
        <w:t xml:space="preserve">own ‘shortest’ path, will </w:t>
      </w:r>
      <w:r w:rsidR="00E85ED0" w:rsidRPr="0062251B">
        <w:rPr>
          <w:sz w:val="24"/>
          <w:szCs w:val="24"/>
        </w:rPr>
        <w:t>result</w:t>
      </w:r>
      <w:r w:rsidR="005A15C3" w:rsidRPr="0062251B">
        <w:rPr>
          <w:sz w:val="24"/>
          <w:szCs w:val="24"/>
        </w:rPr>
        <w:t xml:space="preserve"> in a more interesting and engaging learning journey</w:t>
      </w:r>
      <w:r w:rsidR="00E85ED0" w:rsidRPr="0062251B">
        <w:rPr>
          <w:sz w:val="24"/>
          <w:szCs w:val="24"/>
        </w:rPr>
        <w:t>.</w:t>
      </w:r>
    </w:p>
    <w:p w14:paraId="47BB89DE" w14:textId="00A4F21A" w:rsidR="004D0973" w:rsidRDefault="004D0973" w:rsidP="002701BF">
      <w:pPr>
        <w:pStyle w:val="ListParagraph"/>
        <w:spacing w:before="120" w:after="120" w:line="240" w:lineRule="auto"/>
        <w:jc w:val="both"/>
        <w:rPr>
          <w:sz w:val="24"/>
          <w:szCs w:val="24"/>
        </w:rPr>
      </w:pPr>
    </w:p>
    <w:p w14:paraId="3E241BB3" w14:textId="684DC983" w:rsidR="004D0973" w:rsidRDefault="00B01448" w:rsidP="004D0973">
      <w:pPr>
        <w:pStyle w:val="ListParagraph"/>
        <w:numPr>
          <w:ilvl w:val="0"/>
          <w:numId w:val="2"/>
        </w:numPr>
        <w:spacing w:before="120" w:after="120" w:line="240" w:lineRule="auto"/>
        <w:jc w:val="both"/>
        <w:rPr>
          <w:sz w:val="24"/>
          <w:szCs w:val="24"/>
        </w:rPr>
      </w:pPr>
      <w:r>
        <w:rPr>
          <w:sz w:val="24"/>
          <w:szCs w:val="24"/>
        </w:rPr>
        <w:t>Expand</w:t>
      </w:r>
      <w:r w:rsidR="004D0973">
        <w:rPr>
          <w:sz w:val="24"/>
          <w:szCs w:val="24"/>
        </w:rPr>
        <w:t xml:space="preserve"> </w:t>
      </w:r>
      <w:r w:rsidR="004D0973" w:rsidRPr="00F354C5">
        <w:rPr>
          <w:b/>
          <w:bCs/>
          <w:sz w:val="24"/>
          <w:szCs w:val="24"/>
        </w:rPr>
        <w:t>experimentation</w:t>
      </w:r>
      <w:r>
        <w:rPr>
          <w:b/>
          <w:bCs/>
          <w:sz w:val="24"/>
          <w:szCs w:val="24"/>
        </w:rPr>
        <w:t xml:space="preserve"> – both practices and mindsets</w:t>
      </w:r>
    </w:p>
    <w:p w14:paraId="0A47780C" w14:textId="77777777" w:rsidR="004D0973" w:rsidRPr="00E85ED0" w:rsidRDefault="004D0973" w:rsidP="0055620C">
      <w:pPr>
        <w:pStyle w:val="ListParagraph"/>
        <w:spacing w:before="120" w:after="120" w:line="240" w:lineRule="auto"/>
        <w:jc w:val="both"/>
        <w:rPr>
          <w:sz w:val="24"/>
          <w:szCs w:val="24"/>
        </w:rPr>
      </w:pPr>
    </w:p>
    <w:p w14:paraId="72D52BEA" w14:textId="3240ACD3" w:rsidR="004D0973" w:rsidRPr="00C1781F" w:rsidRDefault="00623AC8" w:rsidP="00C1781F">
      <w:pPr>
        <w:pStyle w:val="ListParagraph"/>
        <w:spacing w:before="120" w:after="120" w:line="240" w:lineRule="auto"/>
        <w:jc w:val="both"/>
        <w:rPr>
          <w:sz w:val="24"/>
          <w:szCs w:val="24"/>
        </w:rPr>
      </w:pPr>
      <w:r>
        <w:rPr>
          <w:sz w:val="24"/>
          <w:szCs w:val="24"/>
        </w:rPr>
        <w:t xml:space="preserve">Creating more fluid routes to achieve outcomes needs </w:t>
      </w:r>
      <w:r w:rsidR="0072594C">
        <w:rPr>
          <w:sz w:val="24"/>
          <w:szCs w:val="24"/>
        </w:rPr>
        <w:t xml:space="preserve">those designing educational experiences in business schools to be </w:t>
      </w:r>
      <w:r w:rsidR="00B01448">
        <w:rPr>
          <w:sz w:val="24"/>
          <w:szCs w:val="24"/>
        </w:rPr>
        <w:t>open and accepting of experimentation</w:t>
      </w:r>
      <w:r>
        <w:rPr>
          <w:sz w:val="24"/>
          <w:szCs w:val="24"/>
        </w:rPr>
        <w:t xml:space="preserve">. </w:t>
      </w:r>
      <w:r w:rsidR="006A3467">
        <w:rPr>
          <w:sz w:val="24"/>
          <w:szCs w:val="24"/>
        </w:rPr>
        <w:t xml:space="preserve">This has been a </w:t>
      </w:r>
      <w:r w:rsidR="000379DE">
        <w:rPr>
          <w:sz w:val="24"/>
          <w:szCs w:val="24"/>
        </w:rPr>
        <w:t>long-standing</w:t>
      </w:r>
      <w:r w:rsidR="006A3467">
        <w:rPr>
          <w:sz w:val="24"/>
          <w:szCs w:val="24"/>
        </w:rPr>
        <w:t xml:space="preserve"> idea when teaching science,</w:t>
      </w:r>
      <w:r w:rsidR="00A9580E">
        <w:rPr>
          <w:sz w:val="24"/>
          <w:szCs w:val="24"/>
        </w:rPr>
        <w:t xml:space="preserve"> </w:t>
      </w:r>
      <w:r w:rsidR="00C1781F">
        <w:rPr>
          <w:sz w:val="24"/>
          <w:szCs w:val="24"/>
        </w:rPr>
        <w:t xml:space="preserve">Solomon </w:t>
      </w:r>
      <w:r w:rsidR="00181F41">
        <w:rPr>
          <w:sz w:val="24"/>
          <w:szCs w:val="24"/>
        </w:rPr>
        <w:t>(</w:t>
      </w:r>
      <w:r w:rsidR="00C1781F">
        <w:rPr>
          <w:sz w:val="24"/>
          <w:szCs w:val="24"/>
        </w:rPr>
        <w:t>1988) states that f</w:t>
      </w:r>
      <w:r w:rsidR="003F01CB" w:rsidRPr="003F01CB">
        <w:rPr>
          <w:sz w:val="24"/>
          <w:szCs w:val="24"/>
        </w:rPr>
        <w:t>or practical work to be convincing it requires that the learner becomes</w:t>
      </w:r>
      <w:r w:rsidR="00C1781F">
        <w:rPr>
          <w:sz w:val="24"/>
          <w:szCs w:val="24"/>
        </w:rPr>
        <w:t xml:space="preserve"> </w:t>
      </w:r>
      <w:r w:rsidR="003F01CB" w:rsidRPr="00C1781F">
        <w:rPr>
          <w:sz w:val="24"/>
          <w:szCs w:val="24"/>
        </w:rPr>
        <w:t xml:space="preserve">a </w:t>
      </w:r>
      <w:r w:rsidR="003F01CB" w:rsidRPr="00C1781F">
        <w:rPr>
          <w:i/>
          <w:iCs/>
          <w:sz w:val="24"/>
          <w:szCs w:val="24"/>
        </w:rPr>
        <w:t>'partisan experimenter</w:t>
      </w:r>
      <w:r w:rsidR="003F01CB" w:rsidRPr="00C1781F">
        <w:rPr>
          <w:sz w:val="24"/>
          <w:szCs w:val="24"/>
        </w:rPr>
        <w:t>'</w:t>
      </w:r>
      <w:r w:rsidR="00C1781F">
        <w:rPr>
          <w:sz w:val="24"/>
          <w:szCs w:val="24"/>
        </w:rPr>
        <w:t>.</w:t>
      </w:r>
      <w:r w:rsidR="006A3467" w:rsidRPr="00C1781F">
        <w:rPr>
          <w:sz w:val="24"/>
          <w:szCs w:val="24"/>
        </w:rPr>
        <w:t xml:space="preserve"> </w:t>
      </w:r>
      <w:r w:rsidR="004D0973" w:rsidRPr="00C1781F">
        <w:rPr>
          <w:sz w:val="24"/>
          <w:szCs w:val="24"/>
        </w:rPr>
        <w:t xml:space="preserve">The introduction of simulations and live events provide students with a safe space to experiment and test different ideas and potential solutions (see </w:t>
      </w:r>
      <w:hyperlink r:id="rId7" w:history="1">
        <w:r w:rsidR="004D0973" w:rsidRPr="00C1781F">
          <w:rPr>
            <w:rStyle w:val="Hyperlink"/>
            <w:sz w:val="24"/>
            <w:szCs w:val="24"/>
          </w:rPr>
          <w:t>Liliana Neriz and colleagues review of gamification in management education here</w:t>
        </w:r>
      </w:hyperlink>
      <w:r w:rsidR="004D0973" w:rsidRPr="00C1781F">
        <w:rPr>
          <w:sz w:val="24"/>
          <w:szCs w:val="24"/>
        </w:rPr>
        <w:t xml:space="preserve">). Project based learning can be particularly effective in moving students out of their comfort zones. Learning through trying and succeeding (or not) is a very useful tool, giving </w:t>
      </w:r>
      <w:r w:rsidR="004D0973" w:rsidRPr="00C1781F">
        <w:rPr>
          <w:sz w:val="24"/>
          <w:szCs w:val="24"/>
        </w:rPr>
        <w:lastRenderedPageBreak/>
        <w:t xml:space="preserve">students opportunity to critically appraise options and context; in an increasingly </w:t>
      </w:r>
      <w:r w:rsidR="004D0973" w:rsidRPr="00C1781F">
        <w:rPr>
          <w:rFonts w:cs="Times New Roman"/>
          <w:sz w:val="24"/>
          <w:szCs w:val="24"/>
        </w:rPr>
        <w:t>complex world, solutions are more likely to be multifaceted (Wheeler et al</w:t>
      </w:r>
      <w:r w:rsidR="00181F41">
        <w:rPr>
          <w:rFonts w:cs="Times New Roman"/>
          <w:sz w:val="24"/>
          <w:szCs w:val="24"/>
        </w:rPr>
        <w:t>.</w:t>
      </w:r>
      <w:r w:rsidR="004D0973" w:rsidRPr="00C1781F">
        <w:rPr>
          <w:rFonts w:cs="Times New Roman"/>
          <w:sz w:val="24"/>
          <w:szCs w:val="24"/>
        </w:rPr>
        <w:t xml:space="preserve">, 2020). </w:t>
      </w:r>
      <w:r w:rsidR="004D0973" w:rsidRPr="00C1781F">
        <w:rPr>
          <w:rFonts w:eastAsia="Times New Roman" w:cs="Times New Roman"/>
          <w:color w:val="000000"/>
          <w:sz w:val="24"/>
          <w:szCs w:val="24"/>
          <w:lang w:eastAsia="en-GB"/>
        </w:rPr>
        <w:t>Given the possibility of many different perspectives and routes to problem resolution, academics need to ensure that the learning process remains within the intended boundaries while allowing student freedom to achieve their learning and professional goals in multiple ways.</w:t>
      </w:r>
    </w:p>
    <w:p w14:paraId="52E88ADD" w14:textId="77777777" w:rsidR="004D0973" w:rsidRPr="00E85ED0" w:rsidRDefault="004D0973" w:rsidP="00FE4C24">
      <w:pPr>
        <w:pStyle w:val="ListParagraph"/>
        <w:spacing w:before="120" w:after="120" w:line="240" w:lineRule="auto"/>
        <w:jc w:val="both"/>
        <w:rPr>
          <w:sz w:val="24"/>
          <w:szCs w:val="24"/>
        </w:rPr>
      </w:pPr>
    </w:p>
    <w:p w14:paraId="357F0495" w14:textId="77777777" w:rsidR="00B371B6" w:rsidRDefault="00B371B6" w:rsidP="00FE4C24">
      <w:pPr>
        <w:pStyle w:val="ListParagraph"/>
        <w:spacing w:before="120" w:after="120" w:line="240" w:lineRule="auto"/>
        <w:jc w:val="both"/>
      </w:pPr>
    </w:p>
    <w:p w14:paraId="7EA00348" w14:textId="14BE3109" w:rsidR="001A1662" w:rsidRPr="0055620C" w:rsidRDefault="001630B5" w:rsidP="00FE4C24">
      <w:pPr>
        <w:pStyle w:val="ListParagraph"/>
        <w:numPr>
          <w:ilvl w:val="0"/>
          <w:numId w:val="2"/>
        </w:numPr>
        <w:spacing w:before="120" w:after="120" w:line="240" w:lineRule="auto"/>
        <w:jc w:val="both"/>
        <w:rPr>
          <w:sz w:val="24"/>
          <w:szCs w:val="24"/>
        </w:rPr>
      </w:pPr>
      <w:r>
        <w:rPr>
          <w:sz w:val="24"/>
          <w:szCs w:val="24"/>
        </w:rPr>
        <w:t>Commit to</w:t>
      </w:r>
      <w:r w:rsidR="004D0973">
        <w:rPr>
          <w:sz w:val="24"/>
          <w:szCs w:val="24"/>
        </w:rPr>
        <w:t xml:space="preserve"> </w:t>
      </w:r>
      <w:r w:rsidR="004D0973" w:rsidRPr="00FE4C24">
        <w:rPr>
          <w:b/>
          <w:bCs/>
          <w:sz w:val="24"/>
          <w:szCs w:val="24"/>
        </w:rPr>
        <w:t>equality</w:t>
      </w:r>
    </w:p>
    <w:p w14:paraId="5F6BE342" w14:textId="77777777" w:rsidR="0055620C" w:rsidRPr="00E85ED0" w:rsidRDefault="0055620C" w:rsidP="0055620C">
      <w:pPr>
        <w:pStyle w:val="ListParagraph"/>
        <w:spacing w:before="120" w:after="120" w:line="240" w:lineRule="auto"/>
        <w:jc w:val="both"/>
        <w:rPr>
          <w:sz w:val="24"/>
          <w:szCs w:val="24"/>
        </w:rPr>
      </w:pPr>
    </w:p>
    <w:p w14:paraId="5757AAC4" w14:textId="3FD1E6D3" w:rsidR="00F33F1E" w:rsidRDefault="001630B5" w:rsidP="0055620C">
      <w:pPr>
        <w:pStyle w:val="ListParagraph"/>
        <w:spacing w:before="120" w:after="120" w:line="240" w:lineRule="auto"/>
        <w:jc w:val="both"/>
        <w:rPr>
          <w:sz w:val="24"/>
          <w:szCs w:val="24"/>
        </w:rPr>
      </w:pPr>
      <w:r>
        <w:rPr>
          <w:sz w:val="24"/>
          <w:szCs w:val="24"/>
        </w:rPr>
        <w:t>S</w:t>
      </w:r>
      <w:r w:rsidR="001A1662" w:rsidRPr="00E85ED0">
        <w:rPr>
          <w:sz w:val="24"/>
          <w:szCs w:val="24"/>
        </w:rPr>
        <w:t xml:space="preserve">tudents should see a lecturer as a guide, not </w:t>
      </w:r>
      <w:r w:rsidR="00E85ED0" w:rsidRPr="00E85ED0">
        <w:rPr>
          <w:sz w:val="24"/>
          <w:szCs w:val="24"/>
        </w:rPr>
        <w:t>a</w:t>
      </w:r>
      <w:r w:rsidR="001A1662" w:rsidRPr="00E85ED0">
        <w:rPr>
          <w:sz w:val="24"/>
          <w:szCs w:val="24"/>
        </w:rPr>
        <w:t xml:space="preserve"> hierarchal figure dictating the journey. The academic </w:t>
      </w:r>
      <w:r>
        <w:rPr>
          <w:sz w:val="24"/>
          <w:szCs w:val="24"/>
        </w:rPr>
        <w:t xml:space="preserve">may often have </w:t>
      </w:r>
      <w:r w:rsidR="001A1662" w:rsidRPr="00E85ED0">
        <w:rPr>
          <w:sz w:val="24"/>
          <w:szCs w:val="24"/>
        </w:rPr>
        <w:t xml:space="preserve">greater </w:t>
      </w:r>
      <w:r w:rsidR="0062251B" w:rsidRPr="00E85ED0">
        <w:rPr>
          <w:sz w:val="24"/>
          <w:szCs w:val="24"/>
        </w:rPr>
        <w:t>knowledge,</w:t>
      </w:r>
      <w:r w:rsidR="001A1662" w:rsidRPr="00E85ED0">
        <w:rPr>
          <w:sz w:val="24"/>
          <w:szCs w:val="24"/>
        </w:rPr>
        <w:t xml:space="preserve"> but the students can bring contextual differences and experience</w:t>
      </w:r>
      <w:r w:rsidR="006C1356">
        <w:rPr>
          <w:sz w:val="24"/>
          <w:szCs w:val="24"/>
        </w:rPr>
        <w:t xml:space="preserve"> which can test the limits of that knowledge. As such, differing experiences can become learning assets for all to benefit from </w:t>
      </w:r>
      <w:r w:rsidR="006C1356">
        <w:rPr>
          <w:rFonts w:cs="Times New Roman"/>
          <w:sz w:val="24"/>
          <w:szCs w:val="24"/>
        </w:rPr>
        <w:t>(Wall and Tran, 2016)</w:t>
      </w:r>
      <w:r w:rsidR="001A1662" w:rsidRPr="00E85ED0">
        <w:rPr>
          <w:sz w:val="24"/>
          <w:szCs w:val="24"/>
        </w:rPr>
        <w:t>.</w:t>
      </w:r>
      <w:r w:rsidR="0062251B">
        <w:rPr>
          <w:sz w:val="24"/>
          <w:szCs w:val="24"/>
        </w:rPr>
        <w:t xml:space="preserve"> </w:t>
      </w:r>
      <w:r w:rsidR="00B371B6" w:rsidRPr="00E85ED0">
        <w:rPr>
          <w:sz w:val="24"/>
          <w:szCs w:val="24"/>
        </w:rPr>
        <w:t xml:space="preserve">The confidence students can gain through having their views respected and </w:t>
      </w:r>
      <w:r w:rsidR="006C1356">
        <w:rPr>
          <w:sz w:val="24"/>
          <w:szCs w:val="24"/>
        </w:rPr>
        <w:t xml:space="preserve">validated through </w:t>
      </w:r>
      <w:r w:rsidR="00B371B6" w:rsidRPr="00E85ED0">
        <w:rPr>
          <w:sz w:val="24"/>
          <w:szCs w:val="24"/>
        </w:rPr>
        <w:t>their own learning journey and that of others brings a richer dimension to the outcomes of our teaching and learning practice.</w:t>
      </w:r>
    </w:p>
    <w:p w14:paraId="74E4C620" w14:textId="3FD74686" w:rsidR="0062251B" w:rsidRDefault="0062251B" w:rsidP="006C1356">
      <w:pPr>
        <w:spacing w:before="120" w:after="120" w:line="240" w:lineRule="auto"/>
        <w:jc w:val="both"/>
        <w:rPr>
          <w:sz w:val="24"/>
          <w:szCs w:val="24"/>
        </w:rPr>
      </w:pPr>
    </w:p>
    <w:p w14:paraId="40B946F1" w14:textId="7C8E8929" w:rsidR="006C1356" w:rsidRDefault="00677ABF" w:rsidP="006C1356">
      <w:pPr>
        <w:spacing w:before="120" w:after="120" w:line="240" w:lineRule="auto"/>
        <w:jc w:val="both"/>
        <w:rPr>
          <w:sz w:val="24"/>
          <w:szCs w:val="24"/>
        </w:rPr>
      </w:pPr>
      <w:r>
        <w:rPr>
          <w:sz w:val="24"/>
          <w:szCs w:val="24"/>
        </w:rPr>
        <w:t xml:space="preserve">As the world faces ongoing challenges, we need more complex knowledge. </w:t>
      </w:r>
      <w:r w:rsidR="000C1DE4">
        <w:rPr>
          <w:sz w:val="24"/>
          <w:szCs w:val="24"/>
        </w:rPr>
        <w:t>We send a pedagogical reminder to what we already know: “d</w:t>
      </w:r>
      <w:r w:rsidRPr="00677ABF">
        <w:rPr>
          <w:sz w:val="24"/>
          <w:szCs w:val="24"/>
        </w:rPr>
        <w:t>on’t be a sage, get off the stage</w:t>
      </w:r>
      <w:r w:rsidR="000C1DE4">
        <w:rPr>
          <w:sz w:val="24"/>
          <w:szCs w:val="24"/>
        </w:rPr>
        <w:t>”</w:t>
      </w:r>
      <w:r w:rsidR="009D709B">
        <w:rPr>
          <w:sz w:val="24"/>
          <w:szCs w:val="24"/>
        </w:rPr>
        <w:t xml:space="preserve">, and let knowledge grow around, in and through the stage, </w:t>
      </w:r>
      <w:r w:rsidR="00401DA2">
        <w:rPr>
          <w:sz w:val="24"/>
          <w:szCs w:val="24"/>
        </w:rPr>
        <w:t>tearing it up for a new platform for socially responsible business and management knowledge</w:t>
      </w:r>
      <w:r w:rsidR="009D709B">
        <w:rPr>
          <w:sz w:val="24"/>
          <w:szCs w:val="24"/>
        </w:rPr>
        <w:t>.</w:t>
      </w:r>
    </w:p>
    <w:p w14:paraId="11B041CB" w14:textId="77777777" w:rsidR="006C1356" w:rsidRPr="00E85ED0" w:rsidRDefault="006C1356" w:rsidP="00FE4C24">
      <w:pPr>
        <w:spacing w:before="120" w:after="120" w:line="240" w:lineRule="auto"/>
        <w:jc w:val="both"/>
        <w:rPr>
          <w:sz w:val="24"/>
          <w:szCs w:val="24"/>
        </w:rPr>
      </w:pPr>
    </w:p>
    <w:p w14:paraId="028517D2" w14:textId="32B50015" w:rsidR="00F33F1E" w:rsidRPr="00E85ED0" w:rsidRDefault="00F33F1E" w:rsidP="00FE4C24">
      <w:pPr>
        <w:spacing w:before="120" w:after="120" w:line="240" w:lineRule="auto"/>
        <w:rPr>
          <w:sz w:val="24"/>
          <w:szCs w:val="24"/>
        </w:rPr>
      </w:pPr>
      <w:r w:rsidRPr="00E85ED0">
        <w:rPr>
          <w:sz w:val="24"/>
          <w:szCs w:val="24"/>
        </w:rPr>
        <w:t>References</w:t>
      </w:r>
    </w:p>
    <w:p w14:paraId="2577CEC9" w14:textId="015F9BED" w:rsidR="00FF70DA" w:rsidRDefault="00FF70DA" w:rsidP="00FE4C24">
      <w:pPr>
        <w:spacing w:before="100" w:beforeAutospacing="1" w:after="100" w:afterAutospacing="1" w:line="240" w:lineRule="auto"/>
        <w:rPr>
          <w:rFonts w:ascii="Times" w:eastAsia="Times New Roman" w:hAnsi="Times" w:cs="Times New Roman"/>
          <w:color w:val="000000"/>
          <w:sz w:val="24"/>
          <w:szCs w:val="24"/>
          <w:lang w:eastAsia="en-GB"/>
        </w:rPr>
      </w:pPr>
      <w:r w:rsidRPr="00FE4C24">
        <w:rPr>
          <w:rFonts w:ascii="Times" w:eastAsia="Times New Roman" w:hAnsi="Times" w:cs="Times New Roman"/>
          <w:color w:val="000000"/>
          <w:sz w:val="24"/>
          <w:szCs w:val="24"/>
          <w:lang w:eastAsia="en-GB"/>
        </w:rPr>
        <w:t xml:space="preserve">Bryson, C., 2016. Engagement through partnership: students as partners in learning and teaching in higher education, </w:t>
      </w:r>
      <w:r w:rsidRPr="00FE4C24">
        <w:rPr>
          <w:rFonts w:ascii="Times" w:eastAsia="Times New Roman" w:hAnsi="Times" w:cs="Times New Roman"/>
          <w:i/>
          <w:iCs/>
          <w:color w:val="000000"/>
          <w:sz w:val="24"/>
          <w:szCs w:val="24"/>
          <w:lang w:eastAsia="en-GB"/>
        </w:rPr>
        <w:t>International Journal for Academic Development</w:t>
      </w:r>
      <w:r w:rsidRPr="00FE4C24">
        <w:rPr>
          <w:rFonts w:ascii="Times" w:eastAsia="Times New Roman" w:hAnsi="Times" w:cs="Times New Roman"/>
          <w:color w:val="000000"/>
          <w:sz w:val="24"/>
          <w:szCs w:val="24"/>
          <w:lang w:eastAsia="en-GB"/>
        </w:rPr>
        <w:t>, 21(1), pp.84-86, DOI: 10.1080/1360144X.2016.1124966</w:t>
      </w:r>
      <w:r>
        <w:rPr>
          <w:rFonts w:ascii="Times" w:eastAsia="Times New Roman" w:hAnsi="Times" w:cs="Times New Roman"/>
          <w:color w:val="000000"/>
          <w:sz w:val="24"/>
          <w:szCs w:val="24"/>
          <w:lang w:eastAsia="en-GB"/>
        </w:rPr>
        <w:t>.</w:t>
      </w:r>
    </w:p>
    <w:p w14:paraId="4BED74AA" w14:textId="4BC348C4" w:rsidR="00FB66E7" w:rsidRDefault="00FB66E7" w:rsidP="00FB66E7">
      <w:pPr>
        <w:spacing w:before="100" w:beforeAutospacing="1" w:after="100" w:afterAutospacing="1" w:line="240" w:lineRule="auto"/>
        <w:rPr>
          <w:rFonts w:ascii="Times" w:eastAsia="Times New Roman" w:hAnsi="Times" w:cs="Times New Roman"/>
          <w:color w:val="000000"/>
          <w:sz w:val="24"/>
          <w:szCs w:val="24"/>
          <w:lang w:eastAsia="en-GB"/>
        </w:rPr>
      </w:pPr>
      <w:r w:rsidRPr="00FB66E7">
        <w:rPr>
          <w:rFonts w:ascii="Times" w:eastAsia="Times New Roman" w:hAnsi="Times" w:cs="Times New Roman"/>
          <w:color w:val="000000"/>
          <w:sz w:val="24"/>
          <w:szCs w:val="24"/>
          <w:lang w:eastAsia="en-GB"/>
        </w:rPr>
        <w:t>Cecchinato, G</w:t>
      </w:r>
      <w:r>
        <w:rPr>
          <w:rFonts w:ascii="Times" w:eastAsia="Times New Roman" w:hAnsi="Times" w:cs="Times New Roman"/>
          <w:color w:val="000000"/>
          <w:sz w:val="24"/>
          <w:szCs w:val="24"/>
          <w:lang w:eastAsia="en-GB"/>
        </w:rPr>
        <w:t xml:space="preserve"> </w:t>
      </w:r>
      <w:r w:rsidRPr="00FB66E7">
        <w:rPr>
          <w:rFonts w:ascii="Times" w:eastAsia="Times New Roman" w:hAnsi="Times" w:cs="Times New Roman"/>
          <w:color w:val="000000"/>
          <w:sz w:val="24"/>
          <w:szCs w:val="24"/>
          <w:lang w:eastAsia="en-GB"/>
        </w:rPr>
        <w:t xml:space="preserve">and Foschi, </w:t>
      </w:r>
      <w:r>
        <w:rPr>
          <w:rFonts w:ascii="Times" w:eastAsia="Times New Roman" w:hAnsi="Times" w:cs="Times New Roman"/>
          <w:color w:val="000000"/>
          <w:sz w:val="24"/>
          <w:szCs w:val="24"/>
          <w:lang w:eastAsia="en-GB"/>
        </w:rPr>
        <w:t>L</w:t>
      </w:r>
      <w:r w:rsidRPr="00FB66E7">
        <w:rPr>
          <w:rFonts w:ascii="Times" w:eastAsia="Times New Roman" w:hAnsi="Times" w:cs="Times New Roman"/>
          <w:color w:val="000000"/>
          <w:sz w:val="24"/>
          <w:szCs w:val="24"/>
          <w:lang w:eastAsia="en-GB"/>
        </w:rPr>
        <w:t xml:space="preserve"> "Flipping the Roles: Analysis of a University Course Where Students Become Cocreators of Curricula," Teaching and Learning Together in Higher Education: Iss. 22 (2017),</w:t>
      </w:r>
      <w:r>
        <w:rPr>
          <w:rFonts w:ascii="Times" w:eastAsia="Times New Roman" w:hAnsi="Times" w:cs="Times New Roman"/>
          <w:color w:val="000000"/>
          <w:sz w:val="24"/>
          <w:szCs w:val="24"/>
          <w:lang w:eastAsia="en-GB"/>
        </w:rPr>
        <w:t xml:space="preserve"> </w:t>
      </w:r>
      <w:r w:rsidRPr="00FB66E7">
        <w:rPr>
          <w:rFonts w:ascii="Times" w:eastAsia="Times New Roman" w:hAnsi="Times" w:cs="Times New Roman"/>
          <w:color w:val="000000"/>
          <w:sz w:val="24"/>
          <w:szCs w:val="24"/>
          <w:lang w:eastAsia="en-GB"/>
        </w:rPr>
        <w:t>http://repository.brynmawr.edu/tlthe/vol1/iss22/5</w:t>
      </w:r>
    </w:p>
    <w:p w14:paraId="3C9B7D66" w14:textId="19D6009A" w:rsidR="00B371B6" w:rsidRDefault="00B371B6" w:rsidP="00FE4C24">
      <w:pPr>
        <w:spacing w:before="100" w:beforeAutospacing="1" w:after="100" w:afterAutospacing="1" w:line="240" w:lineRule="auto"/>
        <w:rPr>
          <w:rFonts w:ascii="Times" w:eastAsia="Times New Roman" w:hAnsi="Times" w:cs="Times New Roman"/>
          <w:color w:val="000000"/>
          <w:sz w:val="24"/>
          <w:szCs w:val="24"/>
          <w:lang w:eastAsia="en-GB"/>
        </w:rPr>
      </w:pPr>
      <w:r w:rsidRPr="00FE4C24">
        <w:rPr>
          <w:rFonts w:ascii="Times" w:eastAsia="Times New Roman" w:hAnsi="Times" w:cs="Times New Roman"/>
          <w:color w:val="000000"/>
          <w:sz w:val="24"/>
          <w:szCs w:val="24"/>
          <w:lang w:eastAsia="en-GB"/>
        </w:rPr>
        <w:t>Chickering, A.W. and Gamson, Z.F.</w:t>
      </w:r>
      <w:r w:rsidR="00D4250C">
        <w:rPr>
          <w:rFonts w:ascii="Times" w:eastAsia="Times New Roman" w:hAnsi="Times" w:cs="Times New Roman"/>
          <w:color w:val="000000"/>
          <w:sz w:val="24"/>
          <w:szCs w:val="24"/>
          <w:lang w:eastAsia="en-GB"/>
        </w:rPr>
        <w:t xml:space="preserve"> (</w:t>
      </w:r>
      <w:r w:rsidRPr="00FE4C24">
        <w:rPr>
          <w:rFonts w:ascii="Times" w:eastAsia="Times New Roman" w:hAnsi="Times" w:cs="Times New Roman"/>
          <w:color w:val="000000"/>
          <w:sz w:val="24"/>
          <w:szCs w:val="24"/>
          <w:lang w:eastAsia="en-GB"/>
        </w:rPr>
        <w:t>1991</w:t>
      </w:r>
      <w:r w:rsidR="00D4250C">
        <w:rPr>
          <w:rFonts w:ascii="Times" w:eastAsia="Times New Roman" w:hAnsi="Times" w:cs="Times New Roman"/>
          <w:color w:val="000000"/>
          <w:sz w:val="24"/>
          <w:szCs w:val="24"/>
          <w:lang w:eastAsia="en-GB"/>
        </w:rPr>
        <w:t>)</w:t>
      </w:r>
      <w:r w:rsidR="00D4250C" w:rsidRPr="00FE4C24">
        <w:rPr>
          <w:rFonts w:ascii="Times" w:eastAsia="Times New Roman" w:hAnsi="Times" w:cs="Times New Roman"/>
          <w:color w:val="000000"/>
          <w:sz w:val="24"/>
          <w:szCs w:val="24"/>
          <w:lang w:eastAsia="en-GB"/>
        </w:rPr>
        <w:t xml:space="preserve"> </w:t>
      </w:r>
      <w:r w:rsidRPr="00FE4C24">
        <w:rPr>
          <w:rFonts w:ascii="Times" w:eastAsia="Times New Roman" w:hAnsi="Times" w:cs="Times New Roman"/>
          <w:color w:val="000000"/>
          <w:sz w:val="24"/>
          <w:szCs w:val="24"/>
          <w:lang w:eastAsia="en-GB"/>
        </w:rPr>
        <w:t xml:space="preserve">Applying the seven principles for good practice in higher education. </w:t>
      </w:r>
      <w:r w:rsidRPr="00FE4C24">
        <w:rPr>
          <w:rFonts w:ascii="Times" w:eastAsia="Times New Roman" w:hAnsi="Times" w:cs="Times New Roman"/>
          <w:i/>
          <w:iCs/>
          <w:color w:val="000000"/>
          <w:sz w:val="24"/>
          <w:szCs w:val="24"/>
          <w:lang w:eastAsia="en-GB"/>
        </w:rPr>
        <w:t>New Directions for Teaching and Learning</w:t>
      </w:r>
      <w:r w:rsidRPr="00FE4C24">
        <w:rPr>
          <w:rFonts w:ascii="Times" w:eastAsia="Times New Roman" w:hAnsi="Times" w:cs="Times New Roman"/>
          <w:color w:val="000000"/>
          <w:sz w:val="24"/>
          <w:szCs w:val="24"/>
          <w:lang w:eastAsia="en-GB"/>
        </w:rPr>
        <w:t>, 47, pp.1-104.</w:t>
      </w:r>
    </w:p>
    <w:p w14:paraId="41E1D821" w14:textId="1A411A74" w:rsidR="00270DDD" w:rsidRPr="00FE4C24" w:rsidRDefault="00270DDD" w:rsidP="00FE4C24">
      <w:pPr>
        <w:spacing w:before="100" w:beforeAutospacing="1" w:after="100" w:afterAutospacing="1" w:line="240" w:lineRule="auto"/>
        <w:rPr>
          <w:rFonts w:ascii="Times" w:eastAsia="Times New Roman" w:hAnsi="Times" w:cs="Times New Roman"/>
          <w:color w:val="000000"/>
          <w:sz w:val="24"/>
          <w:szCs w:val="24"/>
          <w:lang w:eastAsia="en-GB"/>
        </w:rPr>
      </w:pPr>
      <w:r w:rsidRPr="00270DDD">
        <w:rPr>
          <w:rFonts w:ascii="Times" w:eastAsia="Times New Roman" w:hAnsi="Times" w:cs="Times New Roman"/>
          <w:color w:val="000000"/>
          <w:sz w:val="24"/>
          <w:szCs w:val="24"/>
          <w:lang w:eastAsia="en-GB"/>
        </w:rPr>
        <w:t>Department of Business innovation and Skills. (2014, March). Improving the Student Learning Experience – a national assessment. Retrieved from</w:t>
      </w:r>
      <w:r>
        <w:rPr>
          <w:rFonts w:ascii="Times" w:eastAsia="Times New Roman" w:hAnsi="Times" w:cs="Times New Roman"/>
          <w:color w:val="000000"/>
          <w:sz w:val="24"/>
          <w:szCs w:val="24"/>
          <w:lang w:eastAsia="en-GB"/>
        </w:rPr>
        <w:t xml:space="preserve"> </w:t>
      </w:r>
      <w:r w:rsidRPr="00270DDD">
        <w:rPr>
          <w:rFonts w:ascii="Times" w:eastAsia="Times New Roman" w:hAnsi="Times" w:cs="Times New Roman"/>
          <w:color w:val="000000"/>
          <w:sz w:val="24"/>
          <w:szCs w:val="24"/>
          <w:lang w:eastAsia="en-GB"/>
        </w:rPr>
        <w:t>https://assets.publishing.service.gov.uk/: https://assets.publishing.service.gov.uk/government/uploads/system/uploads/attachment_data/file/311288/bis-14-700-improving-the-student-learning-experience.pdf</w:t>
      </w:r>
    </w:p>
    <w:p w14:paraId="2DB81270" w14:textId="0C3B4E75" w:rsidR="00E42804" w:rsidRDefault="00E42804" w:rsidP="00FE4C24">
      <w:pPr>
        <w:spacing w:before="100" w:beforeAutospacing="1" w:after="100" w:afterAutospacing="1" w:line="240" w:lineRule="auto"/>
        <w:rPr>
          <w:rFonts w:ascii="Times" w:eastAsia="Times New Roman" w:hAnsi="Times" w:cs="Times New Roman"/>
          <w:color w:val="000000"/>
          <w:sz w:val="24"/>
          <w:szCs w:val="24"/>
          <w:lang w:eastAsia="en-GB"/>
        </w:rPr>
      </w:pPr>
      <w:r w:rsidRPr="00E42804">
        <w:rPr>
          <w:rFonts w:ascii="Times" w:eastAsia="Times New Roman" w:hAnsi="Times" w:cs="Times New Roman"/>
          <w:color w:val="000000"/>
          <w:sz w:val="24"/>
          <w:szCs w:val="24"/>
          <w:lang w:eastAsia="en-GB"/>
        </w:rPr>
        <w:t xml:space="preserve">Neriz, L., Núñez, A., Fuentes-Caceres, V., Ramis, F., &amp; Jerez, O. (2020). Simulation-based training as a teaching and learning tool for management education. </w:t>
      </w:r>
      <w:r w:rsidRPr="00FE4C24">
        <w:rPr>
          <w:rFonts w:ascii="Times" w:eastAsia="Times New Roman" w:hAnsi="Times" w:cs="Times New Roman"/>
          <w:i/>
          <w:iCs/>
          <w:color w:val="000000"/>
          <w:sz w:val="24"/>
          <w:szCs w:val="24"/>
          <w:lang w:eastAsia="en-GB"/>
        </w:rPr>
        <w:t>Innovations in Education and Teaching International</w:t>
      </w:r>
      <w:r w:rsidRPr="00E42804">
        <w:rPr>
          <w:rFonts w:ascii="Times" w:eastAsia="Times New Roman" w:hAnsi="Times" w:cs="Times New Roman"/>
          <w:color w:val="000000"/>
          <w:sz w:val="24"/>
          <w:szCs w:val="24"/>
          <w:lang w:eastAsia="en-GB"/>
        </w:rPr>
        <w:t xml:space="preserve">, 57(6), 701–713. </w:t>
      </w:r>
      <w:hyperlink r:id="rId8" w:history="1">
        <w:r w:rsidRPr="00A8135F">
          <w:rPr>
            <w:rStyle w:val="Hyperlink"/>
            <w:rFonts w:ascii="Times" w:eastAsia="Times New Roman" w:hAnsi="Times" w:cs="Times New Roman"/>
            <w:sz w:val="24"/>
            <w:szCs w:val="24"/>
            <w:lang w:eastAsia="en-GB"/>
          </w:rPr>
          <w:t>https://doi.org/10.1080/14703297.2019.1631874</w:t>
        </w:r>
      </w:hyperlink>
      <w:r>
        <w:rPr>
          <w:rFonts w:ascii="Times" w:eastAsia="Times New Roman" w:hAnsi="Times" w:cs="Times New Roman"/>
          <w:color w:val="000000"/>
          <w:sz w:val="24"/>
          <w:szCs w:val="24"/>
          <w:lang w:eastAsia="en-GB"/>
        </w:rPr>
        <w:t>.</w:t>
      </w:r>
    </w:p>
    <w:p w14:paraId="79D14C1C" w14:textId="5A742B90" w:rsidR="008B1957" w:rsidRDefault="008B1957" w:rsidP="00FE4C24">
      <w:pPr>
        <w:spacing w:before="100" w:beforeAutospacing="1" w:after="100" w:afterAutospacing="1" w:line="240" w:lineRule="auto"/>
        <w:rPr>
          <w:rFonts w:ascii="Times" w:eastAsia="Times New Roman" w:hAnsi="Times" w:cs="Times New Roman"/>
          <w:color w:val="000000"/>
          <w:sz w:val="24"/>
          <w:szCs w:val="24"/>
          <w:lang w:eastAsia="en-GB"/>
        </w:rPr>
      </w:pPr>
      <w:r w:rsidRPr="008B1957">
        <w:rPr>
          <w:rFonts w:ascii="Times" w:eastAsia="Times New Roman" w:hAnsi="Times" w:cs="Times New Roman"/>
          <w:color w:val="000000"/>
          <w:sz w:val="24"/>
          <w:szCs w:val="24"/>
          <w:lang w:eastAsia="en-GB"/>
        </w:rPr>
        <w:lastRenderedPageBreak/>
        <w:t>Solomon</w:t>
      </w:r>
      <w:r>
        <w:rPr>
          <w:rFonts w:ascii="Times" w:eastAsia="Times New Roman" w:hAnsi="Times" w:cs="Times New Roman"/>
          <w:color w:val="000000"/>
          <w:sz w:val="24"/>
          <w:szCs w:val="24"/>
          <w:lang w:eastAsia="en-GB"/>
        </w:rPr>
        <w:t>, J</w:t>
      </w:r>
      <w:r w:rsidR="00A9580E">
        <w:rPr>
          <w:rFonts w:ascii="Times" w:eastAsia="Times New Roman" w:hAnsi="Times" w:cs="Times New Roman"/>
          <w:color w:val="000000"/>
          <w:sz w:val="24"/>
          <w:szCs w:val="24"/>
          <w:lang w:eastAsia="en-GB"/>
        </w:rPr>
        <w:t>.</w:t>
      </w:r>
      <w:r w:rsidRPr="008B1957">
        <w:rPr>
          <w:rFonts w:ascii="Times" w:eastAsia="Times New Roman" w:hAnsi="Times" w:cs="Times New Roman"/>
          <w:color w:val="000000"/>
          <w:sz w:val="24"/>
          <w:szCs w:val="24"/>
          <w:lang w:eastAsia="en-GB"/>
        </w:rPr>
        <w:t xml:space="preserve"> (1988) Learning Through Experiment, Studies in Science Education, 15:1, 103-108, DOI: 10.1080/03057268808559950</w:t>
      </w:r>
    </w:p>
    <w:p w14:paraId="278B9826" w14:textId="43F06EA3" w:rsidR="00D4250C" w:rsidRDefault="00D4250C" w:rsidP="00FE4C24">
      <w:pPr>
        <w:spacing w:before="100" w:beforeAutospacing="1" w:after="100" w:afterAutospacing="1" w:line="240" w:lineRule="auto"/>
        <w:rPr>
          <w:rFonts w:ascii="Times" w:eastAsia="Times New Roman" w:hAnsi="Times" w:cs="Times New Roman"/>
          <w:color w:val="000000"/>
          <w:sz w:val="24"/>
          <w:szCs w:val="24"/>
          <w:lang w:eastAsia="en-GB"/>
        </w:rPr>
      </w:pPr>
      <w:r w:rsidRPr="00D4250C">
        <w:rPr>
          <w:rFonts w:ascii="Times" w:eastAsia="Times New Roman" w:hAnsi="Times" w:cs="Times New Roman"/>
          <w:color w:val="000000"/>
          <w:sz w:val="24"/>
          <w:szCs w:val="24"/>
          <w:lang w:eastAsia="en-GB"/>
        </w:rPr>
        <w:t xml:space="preserve">Wall, </w:t>
      </w:r>
      <w:r>
        <w:rPr>
          <w:rFonts w:ascii="Times" w:eastAsia="Times New Roman" w:hAnsi="Times" w:cs="Times New Roman"/>
          <w:color w:val="000000"/>
          <w:sz w:val="24"/>
          <w:szCs w:val="24"/>
          <w:lang w:eastAsia="en-GB"/>
        </w:rPr>
        <w:t>T.</w:t>
      </w:r>
      <w:r w:rsidRPr="00D4250C">
        <w:rPr>
          <w:rFonts w:ascii="Times" w:eastAsia="Times New Roman" w:hAnsi="Times" w:cs="Times New Roman"/>
          <w:color w:val="000000"/>
          <w:sz w:val="24"/>
          <w:szCs w:val="24"/>
          <w:lang w:eastAsia="en-GB"/>
        </w:rPr>
        <w:t xml:space="preserve"> and Tran, </w:t>
      </w:r>
      <w:r>
        <w:rPr>
          <w:rFonts w:ascii="Times" w:eastAsia="Times New Roman" w:hAnsi="Times" w:cs="Times New Roman"/>
          <w:color w:val="000000"/>
          <w:sz w:val="24"/>
          <w:szCs w:val="24"/>
          <w:lang w:eastAsia="en-GB"/>
        </w:rPr>
        <w:t>L.T. (</w:t>
      </w:r>
      <w:r w:rsidRPr="00D4250C">
        <w:rPr>
          <w:rFonts w:ascii="Times" w:eastAsia="Times New Roman" w:hAnsi="Times" w:cs="Times New Roman"/>
          <w:color w:val="000000"/>
          <w:sz w:val="24"/>
          <w:szCs w:val="24"/>
          <w:lang w:eastAsia="en-GB"/>
        </w:rPr>
        <w:t>2016</w:t>
      </w:r>
      <w:r>
        <w:rPr>
          <w:rFonts w:ascii="Times" w:eastAsia="Times New Roman" w:hAnsi="Times" w:cs="Times New Roman"/>
          <w:color w:val="000000"/>
          <w:sz w:val="24"/>
          <w:szCs w:val="24"/>
          <w:lang w:eastAsia="en-GB"/>
        </w:rPr>
        <w:t>)</w:t>
      </w:r>
      <w:r w:rsidRPr="00D4250C">
        <w:rPr>
          <w:rFonts w:ascii="Times" w:eastAsia="Times New Roman" w:hAnsi="Times" w:cs="Times New Roman"/>
          <w:color w:val="000000"/>
          <w:sz w:val="24"/>
          <w:szCs w:val="24"/>
          <w:lang w:eastAsia="en-GB"/>
        </w:rPr>
        <w:t xml:space="preserve"> A transcultural dance: enriching work-based learning facilitation. In Helyer, Ruth (ed), </w:t>
      </w:r>
      <w:r w:rsidRPr="00FE4C24">
        <w:rPr>
          <w:rFonts w:ascii="Times" w:eastAsia="Times New Roman" w:hAnsi="Times" w:cs="Times New Roman"/>
          <w:i/>
          <w:iCs/>
          <w:color w:val="000000"/>
          <w:sz w:val="24"/>
          <w:szCs w:val="24"/>
          <w:lang w:eastAsia="en-GB"/>
        </w:rPr>
        <w:t>Facilitating work-based learning: a handbook for tutors</w:t>
      </w:r>
      <w:r w:rsidRPr="00D4250C">
        <w:rPr>
          <w:rFonts w:ascii="Times" w:eastAsia="Times New Roman" w:hAnsi="Times" w:cs="Times New Roman"/>
          <w:color w:val="000000"/>
          <w:sz w:val="24"/>
          <w:szCs w:val="24"/>
          <w:lang w:eastAsia="en-GB"/>
        </w:rPr>
        <w:t>, Palgrave Macmillan, London, Eng., pp.227-246.</w:t>
      </w:r>
    </w:p>
    <w:p w14:paraId="4797C965" w14:textId="09C8C836" w:rsidR="00B62E32" w:rsidRDefault="00B62E32" w:rsidP="00FE4C24">
      <w:pPr>
        <w:spacing w:line="240" w:lineRule="auto"/>
        <w:rPr>
          <w:rFonts w:ascii="Times" w:eastAsia="Times New Roman" w:hAnsi="Times" w:cs="Times New Roman"/>
          <w:color w:val="000000"/>
          <w:sz w:val="24"/>
          <w:szCs w:val="24"/>
          <w:lang w:eastAsia="en-GB"/>
        </w:rPr>
      </w:pPr>
      <w:r w:rsidRPr="00B62E32">
        <w:rPr>
          <w:rFonts w:ascii="Times" w:eastAsia="Times New Roman" w:hAnsi="Times" w:cs="Times New Roman"/>
          <w:color w:val="000000"/>
          <w:sz w:val="24"/>
          <w:szCs w:val="24"/>
          <w:lang w:eastAsia="en-GB"/>
        </w:rPr>
        <w:t xml:space="preserve">Wall T, Hindley A, Foster S, Phuong Luong M, Tien Ho, T, Ngo N. </w:t>
      </w:r>
      <w:r>
        <w:rPr>
          <w:rFonts w:ascii="Times" w:eastAsia="Times New Roman" w:hAnsi="Times" w:cs="Times New Roman"/>
          <w:color w:val="000000"/>
          <w:sz w:val="24"/>
          <w:szCs w:val="24"/>
          <w:lang w:eastAsia="en-GB"/>
        </w:rPr>
        <w:t>(</w:t>
      </w:r>
      <w:r w:rsidRPr="00B62E32">
        <w:rPr>
          <w:rFonts w:ascii="Times" w:eastAsia="Times New Roman" w:hAnsi="Times" w:cs="Times New Roman"/>
          <w:color w:val="000000"/>
          <w:sz w:val="24"/>
          <w:szCs w:val="24"/>
          <w:lang w:eastAsia="en-GB"/>
        </w:rPr>
        <w:t>2022</w:t>
      </w:r>
      <w:r>
        <w:rPr>
          <w:rFonts w:ascii="Times" w:eastAsia="Times New Roman" w:hAnsi="Times" w:cs="Times New Roman"/>
          <w:color w:val="000000"/>
          <w:sz w:val="24"/>
          <w:szCs w:val="24"/>
          <w:lang w:eastAsia="en-GB"/>
        </w:rPr>
        <w:t>)</w:t>
      </w:r>
      <w:r w:rsidRPr="00B62E32">
        <w:rPr>
          <w:rFonts w:ascii="Times" w:eastAsia="Times New Roman" w:hAnsi="Times" w:cs="Times New Roman"/>
          <w:color w:val="000000"/>
          <w:sz w:val="24"/>
          <w:szCs w:val="24"/>
          <w:lang w:eastAsia="en-GB"/>
        </w:rPr>
        <w:t xml:space="preserve">. </w:t>
      </w:r>
      <w:r w:rsidR="00383FD0" w:rsidRPr="00383FD0">
        <w:rPr>
          <w:rFonts w:ascii="Times" w:eastAsia="Times New Roman" w:hAnsi="Times" w:cs="Times New Roman"/>
          <w:color w:val="000000"/>
          <w:sz w:val="24"/>
          <w:szCs w:val="24"/>
          <w:lang w:eastAsia="en-GB"/>
        </w:rPr>
        <w:t>Adapting co-creation to improve inclusion</w:t>
      </w:r>
      <w:r w:rsidR="00383FD0">
        <w:rPr>
          <w:rFonts w:ascii="Times" w:eastAsia="Times New Roman" w:hAnsi="Times" w:cs="Times New Roman"/>
          <w:color w:val="000000"/>
          <w:sz w:val="24"/>
          <w:szCs w:val="24"/>
          <w:lang w:eastAsia="en-GB"/>
        </w:rPr>
        <w:t xml:space="preserve">, Chartered Association of Business Schools, available at </w:t>
      </w:r>
      <w:hyperlink r:id="rId9" w:history="1">
        <w:r w:rsidR="00F40439" w:rsidRPr="00A8135F">
          <w:rPr>
            <w:rStyle w:val="Hyperlink"/>
            <w:rFonts w:ascii="Times" w:eastAsia="Times New Roman" w:hAnsi="Times" w:cs="Times New Roman"/>
            <w:sz w:val="24"/>
            <w:szCs w:val="24"/>
            <w:lang w:eastAsia="en-GB"/>
          </w:rPr>
          <w:t>https://charteredabs.org/adapting-co-creation-for-inclusion-around-business-schools/</w:t>
        </w:r>
      </w:hyperlink>
      <w:r w:rsidR="007A1B64">
        <w:rPr>
          <w:rFonts w:ascii="Times" w:eastAsia="Times New Roman" w:hAnsi="Times" w:cs="Times New Roman"/>
          <w:color w:val="000000"/>
          <w:sz w:val="24"/>
          <w:szCs w:val="24"/>
          <w:lang w:eastAsia="en-GB"/>
        </w:rPr>
        <w:t>.</w:t>
      </w:r>
    </w:p>
    <w:p w14:paraId="76036693" w14:textId="48848B63" w:rsidR="00F9208F" w:rsidRPr="00270DDD" w:rsidRDefault="007A1B64" w:rsidP="00FE4C24">
      <w:pPr>
        <w:spacing w:before="120" w:after="120" w:line="240" w:lineRule="auto"/>
        <w:rPr>
          <w:rFonts w:ascii="Times" w:eastAsia="Times New Roman" w:hAnsi="Times" w:cs="Times New Roman"/>
          <w:color w:val="000000"/>
          <w:sz w:val="24"/>
          <w:szCs w:val="24"/>
          <w:lang w:eastAsia="en-GB"/>
        </w:rPr>
      </w:pPr>
      <w:r w:rsidRPr="007A1B64">
        <w:rPr>
          <w:rFonts w:ascii="Times" w:eastAsia="Times New Roman" w:hAnsi="Times" w:cs="Times New Roman"/>
          <w:color w:val="000000"/>
          <w:sz w:val="24"/>
          <w:szCs w:val="24"/>
          <w:lang w:eastAsia="en-GB"/>
        </w:rPr>
        <w:t xml:space="preserve">Wheeler, S., Passmore, J. and Gold, R. (2020), All to play for: LEGO® SERIOUS PLAY® and its impact on team cohesion, collaboration and psychological safety in organisational settings using a coaching approach, </w:t>
      </w:r>
      <w:r w:rsidRPr="00FE4C24">
        <w:rPr>
          <w:rFonts w:ascii="Times" w:eastAsia="Times New Roman" w:hAnsi="Times" w:cs="Times New Roman"/>
          <w:i/>
          <w:iCs/>
          <w:color w:val="000000"/>
          <w:sz w:val="24"/>
          <w:szCs w:val="24"/>
          <w:lang w:eastAsia="en-GB"/>
        </w:rPr>
        <w:t>Journal of Work-Applied Management</w:t>
      </w:r>
      <w:r w:rsidRPr="007A1B64">
        <w:rPr>
          <w:rFonts w:ascii="Times" w:eastAsia="Times New Roman" w:hAnsi="Times" w:cs="Times New Roman"/>
          <w:color w:val="000000"/>
          <w:sz w:val="24"/>
          <w:szCs w:val="24"/>
          <w:lang w:eastAsia="en-GB"/>
        </w:rPr>
        <w:t xml:space="preserve">, Vol. 12 No. 2, pp. 141-157. </w:t>
      </w:r>
      <w:hyperlink r:id="rId10" w:history="1">
        <w:r w:rsidRPr="00A8135F">
          <w:rPr>
            <w:rStyle w:val="Hyperlink"/>
            <w:rFonts w:ascii="Times" w:eastAsia="Times New Roman" w:hAnsi="Times" w:cs="Times New Roman"/>
            <w:sz w:val="24"/>
            <w:szCs w:val="24"/>
            <w:lang w:eastAsia="en-GB"/>
          </w:rPr>
          <w:t>https://doi.org/10.1108/JWAM-03-2020-0011</w:t>
        </w:r>
      </w:hyperlink>
      <w:r>
        <w:rPr>
          <w:rFonts w:ascii="Times" w:eastAsia="Times New Roman" w:hAnsi="Times" w:cs="Times New Roman"/>
          <w:color w:val="000000"/>
          <w:sz w:val="24"/>
          <w:szCs w:val="24"/>
          <w:lang w:eastAsia="en-GB"/>
        </w:rPr>
        <w:t xml:space="preserve">. </w:t>
      </w:r>
    </w:p>
    <w:sectPr w:rsidR="00F9208F" w:rsidRPr="00270D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71DC2"/>
    <w:multiLevelType w:val="hybridMultilevel"/>
    <w:tmpl w:val="07C20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853C86"/>
    <w:multiLevelType w:val="hybridMultilevel"/>
    <w:tmpl w:val="87DC7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1E"/>
    <w:rsid w:val="00017005"/>
    <w:rsid w:val="000379DE"/>
    <w:rsid w:val="00050CB1"/>
    <w:rsid w:val="000530B7"/>
    <w:rsid w:val="00067295"/>
    <w:rsid w:val="00071C33"/>
    <w:rsid w:val="000723BF"/>
    <w:rsid w:val="00074FA2"/>
    <w:rsid w:val="000C1DE4"/>
    <w:rsid w:val="000D1619"/>
    <w:rsid w:val="001630B5"/>
    <w:rsid w:val="00177C58"/>
    <w:rsid w:val="00181F41"/>
    <w:rsid w:val="001A1662"/>
    <w:rsid w:val="001A4595"/>
    <w:rsid w:val="001A46D3"/>
    <w:rsid w:val="001C13F6"/>
    <w:rsid w:val="001C5736"/>
    <w:rsid w:val="001C75E4"/>
    <w:rsid w:val="002169FF"/>
    <w:rsid w:val="00254E21"/>
    <w:rsid w:val="002701BF"/>
    <w:rsid w:val="00270DDD"/>
    <w:rsid w:val="00274A49"/>
    <w:rsid w:val="002878AE"/>
    <w:rsid w:val="002B6AE7"/>
    <w:rsid w:val="002E734E"/>
    <w:rsid w:val="002F2DBF"/>
    <w:rsid w:val="00321848"/>
    <w:rsid w:val="00356B84"/>
    <w:rsid w:val="00363363"/>
    <w:rsid w:val="00383FD0"/>
    <w:rsid w:val="00395AA4"/>
    <w:rsid w:val="003E7AF1"/>
    <w:rsid w:val="003F01CB"/>
    <w:rsid w:val="0040031F"/>
    <w:rsid w:val="00401DA2"/>
    <w:rsid w:val="00423D54"/>
    <w:rsid w:val="00454CFA"/>
    <w:rsid w:val="0048626F"/>
    <w:rsid w:val="004B21C8"/>
    <w:rsid w:val="004B22BD"/>
    <w:rsid w:val="004B477A"/>
    <w:rsid w:val="004B6CF9"/>
    <w:rsid w:val="004D0973"/>
    <w:rsid w:val="00514446"/>
    <w:rsid w:val="0051533B"/>
    <w:rsid w:val="00520C76"/>
    <w:rsid w:val="0054647C"/>
    <w:rsid w:val="0055620C"/>
    <w:rsid w:val="005A15C3"/>
    <w:rsid w:val="00610CEF"/>
    <w:rsid w:val="00615815"/>
    <w:rsid w:val="0062251B"/>
    <w:rsid w:val="00623AC8"/>
    <w:rsid w:val="0063549D"/>
    <w:rsid w:val="00650EB9"/>
    <w:rsid w:val="00677ABF"/>
    <w:rsid w:val="0069797F"/>
    <w:rsid w:val="006A3467"/>
    <w:rsid w:val="006C1356"/>
    <w:rsid w:val="00717F22"/>
    <w:rsid w:val="0072318A"/>
    <w:rsid w:val="0072594C"/>
    <w:rsid w:val="00734B13"/>
    <w:rsid w:val="00763283"/>
    <w:rsid w:val="00790F73"/>
    <w:rsid w:val="007A1B64"/>
    <w:rsid w:val="007B7340"/>
    <w:rsid w:val="007C2E39"/>
    <w:rsid w:val="00820C80"/>
    <w:rsid w:val="0082406E"/>
    <w:rsid w:val="008503AA"/>
    <w:rsid w:val="008925AC"/>
    <w:rsid w:val="008B1957"/>
    <w:rsid w:val="00942436"/>
    <w:rsid w:val="009B00CF"/>
    <w:rsid w:val="009D709B"/>
    <w:rsid w:val="00A11B1D"/>
    <w:rsid w:val="00A1322B"/>
    <w:rsid w:val="00A55414"/>
    <w:rsid w:val="00A74CBA"/>
    <w:rsid w:val="00A835A0"/>
    <w:rsid w:val="00A9580E"/>
    <w:rsid w:val="00AA4500"/>
    <w:rsid w:val="00AD1D8E"/>
    <w:rsid w:val="00B01448"/>
    <w:rsid w:val="00B371B6"/>
    <w:rsid w:val="00B62E32"/>
    <w:rsid w:val="00BA1A57"/>
    <w:rsid w:val="00BE4EE8"/>
    <w:rsid w:val="00BF3669"/>
    <w:rsid w:val="00C10CA4"/>
    <w:rsid w:val="00C1781F"/>
    <w:rsid w:val="00CC35FA"/>
    <w:rsid w:val="00D26205"/>
    <w:rsid w:val="00D4250C"/>
    <w:rsid w:val="00DA2991"/>
    <w:rsid w:val="00DA5D64"/>
    <w:rsid w:val="00DF3E07"/>
    <w:rsid w:val="00E11504"/>
    <w:rsid w:val="00E12F6B"/>
    <w:rsid w:val="00E42804"/>
    <w:rsid w:val="00E52068"/>
    <w:rsid w:val="00E85ED0"/>
    <w:rsid w:val="00EE4A88"/>
    <w:rsid w:val="00F13B60"/>
    <w:rsid w:val="00F22616"/>
    <w:rsid w:val="00F30940"/>
    <w:rsid w:val="00F33F1E"/>
    <w:rsid w:val="00F40439"/>
    <w:rsid w:val="00F464C4"/>
    <w:rsid w:val="00F9208F"/>
    <w:rsid w:val="00F9668C"/>
    <w:rsid w:val="00FB66E7"/>
    <w:rsid w:val="00FC5BA0"/>
    <w:rsid w:val="00FE4C24"/>
    <w:rsid w:val="00FE7722"/>
    <w:rsid w:val="00FF70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2511"/>
  <w15:chartTrackingRefBased/>
  <w15:docId w15:val="{1B9A1E33-3A36-4F40-8D75-86D6D16C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F1E"/>
    <w:rPr>
      <w:rFonts w:ascii="Times New Roman" w:hAnsi="Times New Roman"/>
    </w:rPr>
  </w:style>
  <w:style w:type="paragraph" w:styleId="Heading1">
    <w:name w:val="heading 1"/>
    <w:basedOn w:val="Normal"/>
    <w:next w:val="Normal"/>
    <w:link w:val="Heading1Char"/>
    <w:uiPriority w:val="9"/>
    <w:qFormat/>
    <w:rsid w:val="00F33F1E"/>
    <w:pPr>
      <w:keepNext/>
      <w:keepLines/>
      <w:spacing w:before="240" w:after="0"/>
      <w:outlineLvl w:val="0"/>
    </w:pPr>
    <w:rPr>
      <w:rFonts w:eastAsiaTheme="majorEastAsia"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F1E"/>
    <w:rPr>
      <w:rFonts w:ascii="Times New Roman" w:eastAsiaTheme="majorEastAsia" w:hAnsi="Times New Roman" w:cstheme="majorBidi"/>
      <w:sz w:val="32"/>
      <w:szCs w:val="32"/>
    </w:rPr>
  </w:style>
  <w:style w:type="character" w:styleId="Hyperlink">
    <w:name w:val="Hyperlink"/>
    <w:basedOn w:val="DefaultParagraphFont"/>
    <w:uiPriority w:val="99"/>
    <w:unhideWhenUsed/>
    <w:rsid w:val="00F9208F"/>
    <w:rPr>
      <w:color w:val="0563C1" w:themeColor="hyperlink"/>
      <w:u w:val="single"/>
    </w:rPr>
  </w:style>
  <w:style w:type="character" w:styleId="UnresolvedMention">
    <w:name w:val="Unresolved Mention"/>
    <w:basedOn w:val="DefaultParagraphFont"/>
    <w:uiPriority w:val="99"/>
    <w:semiHidden/>
    <w:unhideWhenUsed/>
    <w:rsid w:val="00F9208F"/>
    <w:rPr>
      <w:color w:val="605E5C"/>
      <w:shd w:val="clear" w:color="auto" w:fill="E1DFDD"/>
    </w:rPr>
  </w:style>
  <w:style w:type="paragraph" w:styleId="ListParagraph">
    <w:name w:val="List Paragraph"/>
    <w:basedOn w:val="Normal"/>
    <w:uiPriority w:val="34"/>
    <w:qFormat/>
    <w:rsid w:val="00F9208F"/>
    <w:pPr>
      <w:ind w:left="720"/>
      <w:contextualSpacing/>
    </w:pPr>
  </w:style>
  <w:style w:type="paragraph" w:customStyle="1" w:styleId="xxmsonormal">
    <w:name w:val="x_x_msonormal"/>
    <w:basedOn w:val="Normal"/>
    <w:rsid w:val="0054647C"/>
    <w:pPr>
      <w:spacing w:before="100" w:beforeAutospacing="1" w:after="100" w:afterAutospacing="1" w:line="240" w:lineRule="auto"/>
    </w:pPr>
    <w:rPr>
      <w:rFonts w:eastAsia="Times New Roman" w:cs="Times New Roman"/>
      <w:sz w:val="24"/>
      <w:szCs w:val="24"/>
      <w:lang w:eastAsia="en-GB"/>
    </w:rPr>
  </w:style>
  <w:style w:type="character" w:customStyle="1" w:styleId="ms-button-label">
    <w:name w:val="ms-button-label"/>
    <w:basedOn w:val="DefaultParagraphFont"/>
    <w:rsid w:val="0054647C"/>
  </w:style>
  <w:style w:type="paragraph" w:styleId="NormalWeb">
    <w:name w:val="Normal (Web)"/>
    <w:basedOn w:val="Normal"/>
    <w:uiPriority w:val="99"/>
    <w:unhideWhenUsed/>
    <w:rsid w:val="001A1662"/>
    <w:pPr>
      <w:spacing w:before="100" w:beforeAutospacing="1" w:after="100" w:afterAutospacing="1" w:line="240" w:lineRule="auto"/>
    </w:pPr>
    <w:rPr>
      <w:rFonts w:eastAsia="Times New Roman" w:cs="Times New Roman"/>
      <w:sz w:val="24"/>
      <w:szCs w:val="24"/>
      <w:lang w:eastAsia="en-GB"/>
    </w:rPr>
  </w:style>
  <w:style w:type="character" w:styleId="CommentReference">
    <w:name w:val="annotation reference"/>
    <w:basedOn w:val="DefaultParagraphFont"/>
    <w:uiPriority w:val="99"/>
    <w:semiHidden/>
    <w:unhideWhenUsed/>
    <w:rsid w:val="00790F73"/>
    <w:rPr>
      <w:sz w:val="16"/>
      <w:szCs w:val="16"/>
    </w:rPr>
  </w:style>
  <w:style w:type="paragraph" w:styleId="CommentText">
    <w:name w:val="annotation text"/>
    <w:basedOn w:val="Normal"/>
    <w:link w:val="CommentTextChar"/>
    <w:uiPriority w:val="99"/>
    <w:semiHidden/>
    <w:unhideWhenUsed/>
    <w:rsid w:val="00790F73"/>
    <w:pPr>
      <w:spacing w:line="240" w:lineRule="auto"/>
    </w:pPr>
    <w:rPr>
      <w:sz w:val="20"/>
      <w:szCs w:val="20"/>
    </w:rPr>
  </w:style>
  <w:style w:type="character" w:customStyle="1" w:styleId="CommentTextChar">
    <w:name w:val="Comment Text Char"/>
    <w:basedOn w:val="DefaultParagraphFont"/>
    <w:link w:val="CommentText"/>
    <w:uiPriority w:val="99"/>
    <w:semiHidden/>
    <w:rsid w:val="00790F7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90F73"/>
    <w:rPr>
      <w:b/>
      <w:bCs/>
    </w:rPr>
  </w:style>
  <w:style w:type="character" w:customStyle="1" w:styleId="CommentSubjectChar">
    <w:name w:val="Comment Subject Char"/>
    <w:basedOn w:val="CommentTextChar"/>
    <w:link w:val="CommentSubject"/>
    <w:uiPriority w:val="99"/>
    <w:semiHidden/>
    <w:rsid w:val="00790F73"/>
    <w:rPr>
      <w:rFonts w:ascii="Times New Roman" w:hAnsi="Times New Roman"/>
      <w:b/>
      <w:bCs/>
      <w:sz w:val="20"/>
      <w:szCs w:val="20"/>
    </w:rPr>
  </w:style>
  <w:style w:type="character" w:styleId="FollowedHyperlink">
    <w:name w:val="FollowedHyperlink"/>
    <w:basedOn w:val="DefaultParagraphFont"/>
    <w:uiPriority w:val="99"/>
    <w:semiHidden/>
    <w:unhideWhenUsed/>
    <w:rsid w:val="00520C76"/>
    <w:rPr>
      <w:color w:val="954F72" w:themeColor="followedHyperlink"/>
      <w:u w:val="single"/>
    </w:rPr>
  </w:style>
  <w:style w:type="paragraph" w:styleId="Bibliography">
    <w:name w:val="Bibliography"/>
    <w:basedOn w:val="Normal"/>
    <w:next w:val="Normal"/>
    <w:uiPriority w:val="37"/>
    <w:unhideWhenUsed/>
    <w:rsid w:val="00A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13510">
      <w:bodyDiv w:val="1"/>
      <w:marLeft w:val="0"/>
      <w:marRight w:val="0"/>
      <w:marTop w:val="0"/>
      <w:marBottom w:val="0"/>
      <w:divBdr>
        <w:top w:val="none" w:sz="0" w:space="0" w:color="auto"/>
        <w:left w:val="none" w:sz="0" w:space="0" w:color="auto"/>
        <w:bottom w:val="none" w:sz="0" w:space="0" w:color="auto"/>
        <w:right w:val="none" w:sz="0" w:space="0" w:color="auto"/>
      </w:divBdr>
      <w:divsChild>
        <w:div w:id="1805729710">
          <w:marLeft w:val="0"/>
          <w:marRight w:val="0"/>
          <w:marTop w:val="0"/>
          <w:marBottom w:val="0"/>
          <w:divBdr>
            <w:top w:val="none" w:sz="0" w:space="0" w:color="auto"/>
            <w:left w:val="none" w:sz="0" w:space="0" w:color="auto"/>
            <w:bottom w:val="none" w:sz="0" w:space="0" w:color="auto"/>
            <w:right w:val="none" w:sz="0" w:space="0" w:color="auto"/>
          </w:divBdr>
          <w:divsChild>
            <w:div w:id="1316950227">
              <w:marLeft w:val="120"/>
              <w:marRight w:val="300"/>
              <w:marTop w:val="0"/>
              <w:marBottom w:val="120"/>
              <w:divBdr>
                <w:top w:val="none" w:sz="0" w:space="0" w:color="auto"/>
                <w:left w:val="none" w:sz="0" w:space="0" w:color="auto"/>
                <w:bottom w:val="none" w:sz="0" w:space="0" w:color="auto"/>
                <w:right w:val="none" w:sz="0" w:space="0" w:color="auto"/>
              </w:divBdr>
              <w:divsChild>
                <w:div w:id="1810247391">
                  <w:marLeft w:val="0"/>
                  <w:marRight w:val="0"/>
                  <w:marTop w:val="240"/>
                  <w:marBottom w:val="150"/>
                  <w:divBdr>
                    <w:top w:val="none" w:sz="0" w:space="0" w:color="auto"/>
                    <w:left w:val="none" w:sz="0" w:space="0" w:color="auto"/>
                    <w:bottom w:val="none" w:sz="0" w:space="0" w:color="auto"/>
                    <w:right w:val="none" w:sz="0" w:space="0" w:color="auto"/>
                  </w:divBdr>
                  <w:divsChild>
                    <w:div w:id="116225071">
                      <w:marLeft w:val="0"/>
                      <w:marRight w:val="0"/>
                      <w:marTop w:val="0"/>
                      <w:marBottom w:val="0"/>
                      <w:divBdr>
                        <w:top w:val="none" w:sz="0" w:space="0" w:color="auto"/>
                        <w:left w:val="none" w:sz="0" w:space="0" w:color="auto"/>
                        <w:bottom w:val="none" w:sz="0" w:space="0" w:color="auto"/>
                        <w:right w:val="none" w:sz="0" w:space="0" w:color="auto"/>
                      </w:divBdr>
                      <w:divsChild>
                        <w:div w:id="888881230">
                          <w:marLeft w:val="0"/>
                          <w:marRight w:val="0"/>
                          <w:marTop w:val="0"/>
                          <w:marBottom w:val="0"/>
                          <w:divBdr>
                            <w:top w:val="none" w:sz="0" w:space="0" w:color="auto"/>
                            <w:left w:val="none" w:sz="0" w:space="0" w:color="auto"/>
                            <w:bottom w:val="none" w:sz="0" w:space="0" w:color="auto"/>
                            <w:right w:val="none" w:sz="0" w:space="0" w:color="auto"/>
                          </w:divBdr>
                          <w:divsChild>
                            <w:div w:id="307757201">
                              <w:marLeft w:val="0"/>
                              <w:marRight w:val="0"/>
                              <w:marTop w:val="0"/>
                              <w:marBottom w:val="0"/>
                              <w:divBdr>
                                <w:top w:val="none" w:sz="0" w:space="0" w:color="auto"/>
                                <w:left w:val="none" w:sz="0" w:space="0" w:color="auto"/>
                                <w:bottom w:val="none" w:sz="0" w:space="0" w:color="auto"/>
                                <w:right w:val="none" w:sz="0" w:space="0" w:color="auto"/>
                              </w:divBdr>
                              <w:divsChild>
                                <w:div w:id="1364790113">
                                  <w:marLeft w:val="0"/>
                                  <w:marRight w:val="0"/>
                                  <w:marTop w:val="0"/>
                                  <w:marBottom w:val="0"/>
                                  <w:divBdr>
                                    <w:top w:val="none" w:sz="0" w:space="0" w:color="auto"/>
                                    <w:left w:val="none" w:sz="0" w:space="0" w:color="auto"/>
                                    <w:bottom w:val="none" w:sz="0" w:space="0" w:color="auto"/>
                                    <w:right w:val="none" w:sz="0" w:space="0" w:color="auto"/>
                                  </w:divBdr>
                                  <w:divsChild>
                                    <w:div w:id="887111766">
                                      <w:marLeft w:val="0"/>
                                      <w:marRight w:val="0"/>
                                      <w:marTop w:val="0"/>
                                      <w:marBottom w:val="0"/>
                                      <w:divBdr>
                                        <w:top w:val="none" w:sz="0" w:space="0" w:color="auto"/>
                                        <w:left w:val="none" w:sz="0" w:space="0" w:color="auto"/>
                                        <w:bottom w:val="none" w:sz="0" w:space="0" w:color="auto"/>
                                        <w:right w:val="none" w:sz="0" w:space="0" w:color="auto"/>
                                      </w:divBdr>
                                      <w:divsChild>
                                        <w:div w:id="1178500490">
                                          <w:marLeft w:val="0"/>
                                          <w:marRight w:val="0"/>
                                          <w:marTop w:val="0"/>
                                          <w:marBottom w:val="0"/>
                                          <w:divBdr>
                                            <w:top w:val="none" w:sz="0" w:space="0" w:color="auto"/>
                                            <w:left w:val="none" w:sz="0" w:space="0" w:color="auto"/>
                                            <w:bottom w:val="none" w:sz="0" w:space="0" w:color="auto"/>
                                            <w:right w:val="none" w:sz="0" w:space="0" w:color="auto"/>
                                          </w:divBdr>
                                          <w:divsChild>
                                            <w:div w:id="18580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910802">
                  <w:marLeft w:val="-60"/>
                  <w:marRight w:val="240"/>
                  <w:marTop w:val="180"/>
                  <w:marBottom w:val="0"/>
                  <w:divBdr>
                    <w:top w:val="none" w:sz="0" w:space="0" w:color="auto"/>
                    <w:left w:val="none" w:sz="0" w:space="0" w:color="auto"/>
                    <w:bottom w:val="none" w:sz="0" w:space="0" w:color="auto"/>
                    <w:right w:val="none" w:sz="0" w:space="0" w:color="auto"/>
                  </w:divBdr>
                  <w:divsChild>
                    <w:div w:id="622350424">
                      <w:marLeft w:val="0"/>
                      <w:marRight w:val="0"/>
                      <w:marTop w:val="0"/>
                      <w:marBottom w:val="0"/>
                      <w:divBdr>
                        <w:top w:val="none" w:sz="0" w:space="0" w:color="auto"/>
                        <w:left w:val="none" w:sz="0" w:space="0" w:color="auto"/>
                        <w:bottom w:val="none" w:sz="0" w:space="0" w:color="auto"/>
                        <w:right w:val="none" w:sz="0" w:space="0" w:color="auto"/>
                      </w:divBdr>
                    </w:div>
                    <w:div w:id="15301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23546">
      <w:bodyDiv w:val="1"/>
      <w:marLeft w:val="0"/>
      <w:marRight w:val="0"/>
      <w:marTop w:val="0"/>
      <w:marBottom w:val="0"/>
      <w:divBdr>
        <w:top w:val="none" w:sz="0" w:space="0" w:color="auto"/>
        <w:left w:val="none" w:sz="0" w:space="0" w:color="auto"/>
        <w:bottom w:val="none" w:sz="0" w:space="0" w:color="auto"/>
        <w:right w:val="none" w:sz="0" w:space="0" w:color="auto"/>
      </w:divBdr>
    </w:div>
    <w:div w:id="455410769">
      <w:bodyDiv w:val="1"/>
      <w:marLeft w:val="0"/>
      <w:marRight w:val="0"/>
      <w:marTop w:val="0"/>
      <w:marBottom w:val="0"/>
      <w:divBdr>
        <w:top w:val="none" w:sz="0" w:space="0" w:color="auto"/>
        <w:left w:val="none" w:sz="0" w:space="0" w:color="auto"/>
        <w:bottom w:val="none" w:sz="0" w:space="0" w:color="auto"/>
        <w:right w:val="none" w:sz="0" w:space="0" w:color="auto"/>
      </w:divBdr>
    </w:div>
    <w:div w:id="466362124">
      <w:bodyDiv w:val="1"/>
      <w:marLeft w:val="0"/>
      <w:marRight w:val="0"/>
      <w:marTop w:val="0"/>
      <w:marBottom w:val="0"/>
      <w:divBdr>
        <w:top w:val="none" w:sz="0" w:space="0" w:color="auto"/>
        <w:left w:val="none" w:sz="0" w:space="0" w:color="auto"/>
        <w:bottom w:val="none" w:sz="0" w:space="0" w:color="auto"/>
        <w:right w:val="none" w:sz="0" w:space="0" w:color="auto"/>
      </w:divBdr>
      <w:divsChild>
        <w:div w:id="1088191471">
          <w:marLeft w:val="0"/>
          <w:marRight w:val="0"/>
          <w:marTop w:val="0"/>
          <w:marBottom w:val="0"/>
          <w:divBdr>
            <w:top w:val="none" w:sz="0" w:space="0" w:color="auto"/>
            <w:left w:val="none" w:sz="0" w:space="0" w:color="auto"/>
            <w:bottom w:val="none" w:sz="0" w:space="0" w:color="auto"/>
            <w:right w:val="none" w:sz="0" w:space="0" w:color="auto"/>
          </w:divBdr>
          <w:divsChild>
            <w:div w:id="2047827736">
              <w:marLeft w:val="120"/>
              <w:marRight w:val="300"/>
              <w:marTop w:val="0"/>
              <w:marBottom w:val="120"/>
              <w:divBdr>
                <w:top w:val="none" w:sz="0" w:space="0" w:color="auto"/>
                <w:left w:val="none" w:sz="0" w:space="0" w:color="auto"/>
                <w:bottom w:val="none" w:sz="0" w:space="0" w:color="auto"/>
                <w:right w:val="none" w:sz="0" w:space="0" w:color="auto"/>
              </w:divBdr>
              <w:divsChild>
                <w:div w:id="123085715">
                  <w:marLeft w:val="0"/>
                  <w:marRight w:val="0"/>
                  <w:marTop w:val="240"/>
                  <w:marBottom w:val="150"/>
                  <w:divBdr>
                    <w:top w:val="none" w:sz="0" w:space="0" w:color="auto"/>
                    <w:left w:val="none" w:sz="0" w:space="0" w:color="auto"/>
                    <w:bottom w:val="none" w:sz="0" w:space="0" w:color="auto"/>
                    <w:right w:val="none" w:sz="0" w:space="0" w:color="auto"/>
                  </w:divBdr>
                  <w:divsChild>
                    <w:div w:id="40399960">
                      <w:marLeft w:val="0"/>
                      <w:marRight w:val="0"/>
                      <w:marTop w:val="0"/>
                      <w:marBottom w:val="0"/>
                      <w:divBdr>
                        <w:top w:val="none" w:sz="0" w:space="0" w:color="auto"/>
                        <w:left w:val="none" w:sz="0" w:space="0" w:color="auto"/>
                        <w:bottom w:val="none" w:sz="0" w:space="0" w:color="auto"/>
                        <w:right w:val="none" w:sz="0" w:space="0" w:color="auto"/>
                      </w:divBdr>
                      <w:divsChild>
                        <w:div w:id="534315492">
                          <w:marLeft w:val="0"/>
                          <w:marRight w:val="0"/>
                          <w:marTop w:val="0"/>
                          <w:marBottom w:val="0"/>
                          <w:divBdr>
                            <w:top w:val="none" w:sz="0" w:space="0" w:color="auto"/>
                            <w:left w:val="none" w:sz="0" w:space="0" w:color="auto"/>
                            <w:bottom w:val="none" w:sz="0" w:space="0" w:color="auto"/>
                            <w:right w:val="none" w:sz="0" w:space="0" w:color="auto"/>
                          </w:divBdr>
                          <w:divsChild>
                            <w:div w:id="1607998613">
                              <w:marLeft w:val="0"/>
                              <w:marRight w:val="0"/>
                              <w:marTop w:val="0"/>
                              <w:marBottom w:val="0"/>
                              <w:divBdr>
                                <w:top w:val="none" w:sz="0" w:space="0" w:color="auto"/>
                                <w:left w:val="none" w:sz="0" w:space="0" w:color="auto"/>
                                <w:bottom w:val="none" w:sz="0" w:space="0" w:color="auto"/>
                                <w:right w:val="none" w:sz="0" w:space="0" w:color="auto"/>
                              </w:divBdr>
                              <w:divsChild>
                                <w:div w:id="1444107062">
                                  <w:marLeft w:val="0"/>
                                  <w:marRight w:val="0"/>
                                  <w:marTop w:val="0"/>
                                  <w:marBottom w:val="0"/>
                                  <w:divBdr>
                                    <w:top w:val="none" w:sz="0" w:space="0" w:color="auto"/>
                                    <w:left w:val="none" w:sz="0" w:space="0" w:color="auto"/>
                                    <w:bottom w:val="none" w:sz="0" w:space="0" w:color="auto"/>
                                    <w:right w:val="none" w:sz="0" w:space="0" w:color="auto"/>
                                  </w:divBdr>
                                  <w:divsChild>
                                    <w:div w:id="2099977303">
                                      <w:marLeft w:val="0"/>
                                      <w:marRight w:val="0"/>
                                      <w:marTop w:val="0"/>
                                      <w:marBottom w:val="0"/>
                                      <w:divBdr>
                                        <w:top w:val="none" w:sz="0" w:space="0" w:color="auto"/>
                                        <w:left w:val="none" w:sz="0" w:space="0" w:color="auto"/>
                                        <w:bottom w:val="none" w:sz="0" w:space="0" w:color="auto"/>
                                        <w:right w:val="none" w:sz="0" w:space="0" w:color="auto"/>
                                      </w:divBdr>
                                      <w:divsChild>
                                        <w:div w:id="1201358269">
                                          <w:marLeft w:val="0"/>
                                          <w:marRight w:val="0"/>
                                          <w:marTop w:val="0"/>
                                          <w:marBottom w:val="0"/>
                                          <w:divBdr>
                                            <w:top w:val="none" w:sz="0" w:space="0" w:color="auto"/>
                                            <w:left w:val="none" w:sz="0" w:space="0" w:color="auto"/>
                                            <w:bottom w:val="none" w:sz="0" w:space="0" w:color="auto"/>
                                            <w:right w:val="none" w:sz="0" w:space="0" w:color="auto"/>
                                          </w:divBdr>
                                          <w:divsChild>
                                            <w:div w:id="16584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531689">
                  <w:marLeft w:val="-60"/>
                  <w:marRight w:val="240"/>
                  <w:marTop w:val="180"/>
                  <w:marBottom w:val="0"/>
                  <w:divBdr>
                    <w:top w:val="none" w:sz="0" w:space="0" w:color="auto"/>
                    <w:left w:val="none" w:sz="0" w:space="0" w:color="auto"/>
                    <w:bottom w:val="none" w:sz="0" w:space="0" w:color="auto"/>
                    <w:right w:val="none" w:sz="0" w:space="0" w:color="auto"/>
                  </w:divBdr>
                  <w:divsChild>
                    <w:div w:id="1214658455">
                      <w:marLeft w:val="0"/>
                      <w:marRight w:val="0"/>
                      <w:marTop w:val="0"/>
                      <w:marBottom w:val="0"/>
                      <w:divBdr>
                        <w:top w:val="none" w:sz="0" w:space="0" w:color="auto"/>
                        <w:left w:val="none" w:sz="0" w:space="0" w:color="auto"/>
                        <w:bottom w:val="none" w:sz="0" w:space="0" w:color="auto"/>
                        <w:right w:val="none" w:sz="0" w:space="0" w:color="auto"/>
                      </w:divBdr>
                    </w:div>
                    <w:div w:id="10671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43620">
      <w:bodyDiv w:val="1"/>
      <w:marLeft w:val="0"/>
      <w:marRight w:val="0"/>
      <w:marTop w:val="0"/>
      <w:marBottom w:val="0"/>
      <w:divBdr>
        <w:top w:val="none" w:sz="0" w:space="0" w:color="auto"/>
        <w:left w:val="none" w:sz="0" w:space="0" w:color="auto"/>
        <w:bottom w:val="none" w:sz="0" w:space="0" w:color="auto"/>
        <w:right w:val="none" w:sz="0" w:space="0" w:color="auto"/>
      </w:divBdr>
    </w:div>
    <w:div w:id="1555775776">
      <w:bodyDiv w:val="1"/>
      <w:marLeft w:val="0"/>
      <w:marRight w:val="0"/>
      <w:marTop w:val="0"/>
      <w:marBottom w:val="0"/>
      <w:divBdr>
        <w:top w:val="none" w:sz="0" w:space="0" w:color="auto"/>
        <w:left w:val="none" w:sz="0" w:space="0" w:color="auto"/>
        <w:bottom w:val="none" w:sz="0" w:space="0" w:color="auto"/>
        <w:right w:val="none" w:sz="0" w:space="0" w:color="auto"/>
      </w:divBdr>
    </w:div>
    <w:div w:id="1591429856">
      <w:bodyDiv w:val="1"/>
      <w:marLeft w:val="0"/>
      <w:marRight w:val="0"/>
      <w:marTop w:val="0"/>
      <w:marBottom w:val="0"/>
      <w:divBdr>
        <w:top w:val="none" w:sz="0" w:space="0" w:color="auto"/>
        <w:left w:val="none" w:sz="0" w:space="0" w:color="auto"/>
        <w:bottom w:val="none" w:sz="0" w:space="0" w:color="auto"/>
        <w:right w:val="none" w:sz="0" w:space="0" w:color="auto"/>
      </w:divBdr>
    </w:div>
    <w:div w:id="1770852008">
      <w:bodyDiv w:val="1"/>
      <w:marLeft w:val="0"/>
      <w:marRight w:val="0"/>
      <w:marTop w:val="0"/>
      <w:marBottom w:val="0"/>
      <w:divBdr>
        <w:top w:val="none" w:sz="0" w:space="0" w:color="auto"/>
        <w:left w:val="none" w:sz="0" w:space="0" w:color="auto"/>
        <w:bottom w:val="none" w:sz="0" w:space="0" w:color="auto"/>
        <w:right w:val="none" w:sz="0" w:space="0" w:color="auto"/>
      </w:divBdr>
    </w:div>
    <w:div w:id="180711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703297.2019.1631874" TargetMode="External"/><Relationship Id="rId3" Type="http://schemas.openxmlformats.org/officeDocument/2006/relationships/styles" Target="styles.xml"/><Relationship Id="rId7" Type="http://schemas.openxmlformats.org/officeDocument/2006/relationships/hyperlink" Target="https://www.tandfonline.com/doi/abs/10.1080/14703297.2019.163187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arteredabs.org/adapting-co-creation-for-inclusion-around-business-school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108/JWAM-03-2020-0011" TargetMode="External"/><Relationship Id="rId4" Type="http://schemas.openxmlformats.org/officeDocument/2006/relationships/settings" Target="settings.xml"/><Relationship Id="rId9" Type="http://schemas.openxmlformats.org/officeDocument/2006/relationships/hyperlink" Target="https://charteredabs.org/adapting-co-creation-for-inclusion-around-business-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Dep14</b:Tag>
    <b:SourceType>DocumentFromInternetSite</b:SourceType>
    <b:Guid>{2FD66818-8258-473F-8DC7-EABAF66A7779}</b:Guid>
    <b:Title>Improving the Student Learning Experience – a national assessment</b:Title>
    <b:InternetSiteTitle>https://assets.publishing.service.gov.uk/</b:InternetSiteTitle>
    <b:Year>2014</b:Year>
    <b:Month>March</b:Month>
    <b:URL>https://assets.publishing.service.gov.uk/government/uploads/system/uploads/attachment_data/file/311288/bis-14-700-improving-the-student-learning-experience.pdf</b:URL>
    <b:Author>
      <b:Author>
        <b:Corporate>Department of Business innovation and Skills</b:Corporate>
      </b:Author>
    </b:Author>
    <b:RefOrder>1</b:RefOrder>
  </b:Source>
</b:Sources>
</file>

<file path=customXml/itemProps1.xml><?xml version="1.0" encoding="utf-8"?>
<ds:datastoreItem xmlns:ds="http://schemas.openxmlformats.org/officeDocument/2006/customXml" ds:itemID="{B4951AA9-EA37-4AAA-8CFB-BEC69CC9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1613</Words>
  <Characters>9196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 Tony</dc:creator>
  <cp:keywords/>
  <dc:description/>
  <cp:lastModifiedBy>Al Khateeb, Amr</cp:lastModifiedBy>
  <cp:revision>2</cp:revision>
  <dcterms:created xsi:type="dcterms:W3CDTF">2022-09-01T07:48:00Z</dcterms:created>
  <dcterms:modified xsi:type="dcterms:W3CDTF">2022-09-01T07:48:00Z</dcterms:modified>
</cp:coreProperties>
</file>