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CC2A" w14:textId="77777777" w:rsidR="00CD72E0" w:rsidRDefault="00CD72E0" w:rsidP="00154DC3">
      <w:pPr>
        <w:pStyle w:val="NoSpacing"/>
        <w:spacing w:after="120" w:line="480" w:lineRule="auto"/>
      </w:pPr>
    </w:p>
    <w:p w14:paraId="3A140F61" w14:textId="46927C06" w:rsidR="00CD72E0" w:rsidRPr="004B6C4B" w:rsidRDefault="00CD72E0" w:rsidP="00154DC3">
      <w:pPr>
        <w:spacing w:after="120" w:line="480" w:lineRule="auto"/>
        <w:jc w:val="center"/>
        <w:rPr>
          <w:b/>
          <w:sz w:val="28"/>
          <w:szCs w:val="28"/>
        </w:rPr>
      </w:pPr>
      <w:bookmarkStart w:id="0" w:name="_Hlk92629792"/>
      <w:r w:rsidRPr="004B6C4B">
        <w:rPr>
          <w:b/>
          <w:sz w:val="28"/>
          <w:szCs w:val="28"/>
        </w:rPr>
        <w:t>A Strategy to Define Applicability Domains for Read-Across</w:t>
      </w:r>
    </w:p>
    <w:bookmarkEnd w:id="0"/>
    <w:p w14:paraId="79684194" w14:textId="77777777" w:rsidR="00CD72E0" w:rsidRDefault="00CD72E0" w:rsidP="00154DC3">
      <w:pPr>
        <w:spacing w:after="120" w:line="480" w:lineRule="auto"/>
        <w:jc w:val="both"/>
        <w:rPr>
          <w:bCs/>
        </w:rPr>
      </w:pPr>
    </w:p>
    <w:p w14:paraId="2E9EC7EB" w14:textId="3BED7900" w:rsidR="00CD72E0" w:rsidRPr="00D1477B" w:rsidRDefault="0071288C" w:rsidP="00154DC3">
      <w:pPr>
        <w:spacing w:after="120" w:line="480" w:lineRule="auto"/>
        <w:jc w:val="both"/>
        <w:rPr>
          <w:bCs/>
        </w:rPr>
      </w:pPr>
      <w:r>
        <w:rPr>
          <w:bCs/>
        </w:rPr>
        <w:t>Cynthia Pestana</w:t>
      </w:r>
      <w:r w:rsidR="00FB3251" w:rsidRPr="00CC4D22">
        <w:rPr>
          <w:bCs/>
          <w:vertAlign w:val="superscript"/>
        </w:rPr>
        <w:t>1</w:t>
      </w:r>
      <w:r>
        <w:rPr>
          <w:bCs/>
        </w:rPr>
        <w:t>,</w:t>
      </w:r>
      <w:r w:rsidR="00F26FD6">
        <w:rPr>
          <w:bCs/>
          <w:vertAlign w:val="superscript"/>
        </w:rPr>
        <w:t xml:space="preserve"> </w:t>
      </w:r>
      <w:r w:rsidR="00D91148">
        <w:rPr>
          <w:bCs/>
        </w:rPr>
        <w:t>Steven J. Enoch</w:t>
      </w:r>
      <w:r w:rsidR="008E143A">
        <w:rPr>
          <w:bCs/>
        </w:rPr>
        <w:t>,</w:t>
      </w:r>
      <w:r w:rsidR="006A1718" w:rsidRPr="00CD59D9">
        <w:rPr>
          <w:bCs/>
          <w:vertAlign w:val="superscript"/>
        </w:rPr>
        <w:t>2</w:t>
      </w:r>
      <w:r w:rsidR="00D91148">
        <w:rPr>
          <w:bCs/>
        </w:rPr>
        <w:t xml:space="preserve"> </w:t>
      </w:r>
      <w:r w:rsidR="00CD72E0">
        <w:rPr>
          <w:bCs/>
        </w:rPr>
        <w:t>James W. Firman</w:t>
      </w:r>
      <w:r w:rsidR="003A2DCF">
        <w:rPr>
          <w:bCs/>
        </w:rPr>
        <w:t>,</w:t>
      </w:r>
      <w:r w:rsidR="006A1718" w:rsidRPr="00CD59D9">
        <w:rPr>
          <w:bCs/>
          <w:vertAlign w:val="superscript"/>
        </w:rPr>
        <w:t>2</w:t>
      </w:r>
      <w:r w:rsidR="00CD72E0">
        <w:rPr>
          <w:bCs/>
        </w:rPr>
        <w:t xml:space="preserve"> </w:t>
      </w:r>
      <w:r w:rsidR="008E143A">
        <w:rPr>
          <w:bCs/>
        </w:rPr>
        <w:t>Judith C. Madden,</w:t>
      </w:r>
      <w:r w:rsidR="006A1718" w:rsidRPr="00CD59D9">
        <w:rPr>
          <w:bCs/>
          <w:vertAlign w:val="superscript"/>
        </w:rPr>
        <w:t>2</w:t>
      </w:r>
      <w:r w:rsidR="008E143A">
        <w:rPr>
          <w:bCs/>
          <w:vertAlign w:val="superscript"/>
        </w:rPr>
        <w:t xml:space="preserve"> </w:t>
      </w:r>
      <w:r w:rsidR="00ED66A3">
        <w:rPr>
          <w:bCs/>
        </w:rPr>
        <w:t>Nicoleta Sp</w:t>
      </w:r>
      <w:r w:rsidR="00ED66A3">
        <w:rPr>
          <w:rFonts w:cstheme="minorHAnsi"/>
          <w:bCs/>
        </w:rPr>
        <w:t>î</w:t>
      </w:r>
      <w:r w:rsidR="00ED66A3">
        <w:rPr>
          <w:bCs/>
        </w:rPr>
        <w:t>nu,</w:t>
      </w:r>
      <w:r w:rsidR="006A1718" w:rsidRPr="00CD59D9">
        <w:rPr>
          <w:bCs/>
          <w:vertAlign w:val="superscript"/>
        </w:rPr>
        <w:t>2</w:t>
      </w:r>
      <w:r w:rsidR="00ED66A3">
        <w:rPr>
          <w:bCs/>
        </w:rPr>
        <w:t xml:space="preserve"> </w:t>
      </w:r>
      <w:r>
        <w:rPr>
          <w:bCs/>
        </w:rPr>
        <w:t>Mark T.D. Cronin</w:t>
      </w:r>
      <w:r w:rsidR="006A1718" w:rsidRPr="00CD59D9">
        <w:rPr>
          <w:bCs/>
          <w:vertAlign w:val="superscript"/>
        </w:rPr>
        <w:t>2</w:t>
      </w:r>
      <w:r w:rsidR="006A1718">
        <w:rPr>
          <w:bCs/>
        </w:rPr>
        <w:t>*</w:t>
      </w:r>
    </w:p>
    <w:p w14:paraId="6A1126AF" w14:textId="77777777" w:rsidR="00926913" w:rsidRDefault="00926913" w:rsidP="00154DC3">
      <w:pPr>
        <w:spacing w:after="120" w:line="480" w:lineRule="auto"/>
        <w:jc w:val="both"/>
        <w:rPr>
          <w:bCs/>
          <w:vertAlign w:val="superscript"/>
        </w:rPr>
      </w:pPr>
    </w:p>
    <w:p w14:paraId="2B19BF45" w14:textId="35AA8731" w:rsidR="00F26FD6" w:rsidRPr="00CC4D22" w:rsidRDefault="00FB3251" w:rsidP="00154DC3">
      <w:pPr>
        <w:spacing w:after="120" w:line="480" w:lineRule="auto"/>
        <w:jc w:val="both"/>
        <w:rPr>
          <w:bCs/>
        </w:rPr>
      </w:pPr>
      <w:r w:rsidRPr="0064653F">
        <w:rPr>
          <w:bCs/>
          <w:vertAlign w:val="superscript"/>
        </w:rPr>
        <w:t>1</w:t>
      </w:r>
      <w:r w:rsidRPr="00CC4D22">
        <w:rPr>
          <w:bCs/>
        </w:rPr>
        <w:t>Department of Genetics - Federal University of Paraná (UFPR), Curitiba, PR, Brazil</w:t>
      </w:r>
    </w:p>
    <w:p w14:paraId="1C684762" w14:textId="5DCC4896" w:rsidR="00CD72E0" w:rsidRDefault="006A1718" w:rsidP="00154DC3">
      <w:pPr>
        <w:spacing w:after="120" w:line="480" w:lineRule="auto"/>
        <w:jc w:val="both"/>
        <w:rPr>
          <w:bCs/>
        </w:rPr>
      </w:pPr>
      <w:bookmarkStart w:id="1" w:name="_Hlk92383310"/>
      <w:r w:rsidRPr="00CC4D22">
        <w:rPr>
          <w:bCs/>
          <w:vertAlign w:val="superscript"/>
        </w:rPr>
        <w:t>2</w:t>
      </w:r>
      <w:bookmarkEnd w:id="1"/>
      <w:r w:rsidR="00CD72E0">
        <w:rPr>
          <w:bCs/>
        </w:rPr>
        <w:t>School of Pharmacy and Biomolecular Sciences, L</w:t>
      </w:r>
      <w:r w:rsidR="00CD72E0" w:rsidRPr="00807F40">
        <w:rPr>
          <w:bCs/>
        </w:rPr>
        <w:t xml:space="preserve">iverpool John </w:t>
      </w:r>
      <w:proofErr w:type="spellStart"/>
      <w:r w:rsidR="00CD72E0" w:rsidRPr="00807F40">
        <w:rPr>
          <w:bCs/>
        </w:rPr>
        <w:t>Moores</w:t>
      </w:r>
      <w:proofErr w:type="spellEnd"/>
      <w:r w:rsidR="00CD72E0" w:rsidRPr="00807F40">
        <w:rPr>
          <w:bCs/>
        </w:rPr>
        <w:t xml:space="preserve"> University</w:t>
      </w:r>
      <w:r w:rsidR="00CD72E0">
        <w:rPr>
          <w:bCs/>
        </w:rPr>
        <w:t xml:space="preserve">, </w:t>
      </w:r>
      <w:proofErr w:type="spellStart"/>
      <w:r w:rsidR="00CD72E0">
        <w:rPr>
          <w:bCs/>
        </w:rPr>
        <w:t>Byrom</w:t>
      </w:r>
      <w:proofErr w:type="spellEnd"/>
      <w:r w:rsidR="00CD72E0">
        <w:rPr>
          <w:bCs/>
        </w:rPr>
        <w:t xml:space="preserve"> Street, Liverpool L3 3AF, UK</w:t>
      </w:r>
    </w:p>
    <w:p w14:paraId="49ABD3AB" w14:textId="77777777" w:rsidR="00CD72E0" w:rsidRPr="00D1477B" w:rsidRDefault="00CD72E0" w:rsidP="00154DC3">
      <w:pPr>
        <w:spacing w:after="120" w:line="480" w:lineRule="auto"/>
        <w:rPr>
          <w:bCs/>
        </w:rPr>
      </w:pPr>
    </w:p>
    <w:p w14:paraId="5FE42049" w14:textId="77777777" w:rsidR="00CD72E0" w:rsidRDefault="00CD72E0" w:rsidP="00154DC3">
      <w:pPr>
        <w:spacing w:after="120" w:line="480" w:lineRule="auto"/>
        <w:rPr>
          <w:bCs/>
        </w:rPr>
      </w:pPr>
      <w:r w:rsidRPr="00D1477B">
        <w:rPr>
          <w:bCs/>
        </w:rPr>
        <w:t>*Aut</w:t>
      </w:r>
      <w:r>
        <w:rPr>
          <w:bCs/>
        </w:rPr>
        <w:t>hor for Correspondence:</w:t>
      </w:r>
    </w:p>
    <w:p w14:paraId="4DB77034" w14:textId="77777777" w:rsidR="00CD72E0" w:rsidRDefault="00CD72E0" w:rsidP="00154DC3">
      <w:pPr>
        <w:spacing w:after="120" w:line="480" w:lineRule="auto"/>
        <w:rPr>
          <w:bCs/>
        </w:rPr>
      </w:pPr>
      <w:r>
        <w:rPr>
          <w:bCs/>
        </w:rPr>
        <w:t>Mark Cronin</w:t>
      </w:r>
    </w:p>
    <w:p w14:paraId="1149CD2C" w14:textId="17C59352" w:rsidR="00785715" w:rsidRDefault="00CD72E0" w:rsidP="00154DC3">
      <w:pPr>
        <w:spacing w:after="120" w:line="480" w:lineRule="auto"/>
        <w:rPr>
          <w:bCs/>
        </w:rPr>
      </w:pPr>
      <w:r>
        <w:rPr>
          <w:bCs/>
        </w:rPr>
        <w:t xml:space="preserve">Email: </w:t>
      </w:r>
      <w:hyperlink r:id="rId8" w:history="1">
        <w:r w:rsidR="00785715" w:rsidRPr="00164CC4">
          <w:rPr>
            <w:rStyle w:val="Hyperlink"/>
            <w:bCs/>
          </w:rPr>
          <w:t>m.t.cronin@ljmu.ac.uk</w:t>
        </w:r>
      </w:hyperlink>
    </w:p>
    <w:p w14:paraId="5C29E457" w14:textId="329088BF" w:rsidR="00785715" w:rsidRDefault="00785715" w:rsidP="00154DC3">
      <w:pPr>
        <w:spacing w:after="120" w:line="480" w:lineRule="auto"/>
        <w:rPr>
          <w:bCs/>
        </w:rPr>
      </w:pPr>
    </w:p>
    <w:p w14:paraId="6DDAE80B" w14:textId="5C235C37" w:rsidR="00785715" w:rsidRDefault="00785715" w:rsidP="00154DC3">
      <w:pPr>
        <w:spacing w:after="120" w:line="480" w:lineRule="auto"/>
        <w:rPr>
          <w:bCs/>
        </w:rPr>
      </w:pPr>
      <w:r>
        <w:rPr>
          <w:bCs/>
        </w:rPr>
        <w:t>ORCID</w:t>
      </w:r>
      <w:r w:rsidR="000F419A">
        <w:rPr>
          <w:bCs/>
        </w:rPr>
        <w:t xml:space="preserve"> Identifiers:</w:t>
      </w:r>
    </w:p>
    <w:p w14:paraId="5F8230EE" w14:textId="5BFA3734" w:rsidR="000F419A" w:rsidRDefault="000F419A" w:rsidP="00154DC3">
      <w:pPr>
        <w:spacing w:after="120" w:line="480" w:lineRule="auto"/>
        <w:rPr>
          <w:bCs/>
        </w:rPr>
      </w:pPr>
      <w:r>
        <w:rPr>
          <w:bCs/>
        </w:rPr>
        <w:t>Cynthia Pestana:</w:t>
      </w:r>
      <w:r w:rsidR="00263756" w:rsidRPr="00263756">
        <w:t xml:space="preserve"> </w:t>
      </w:r>
      <w:r w:rsidR="00263756" w:rsidRPr="00263756">
        <w:rPr>
          <w:bCs/>
        </w:rPr>
        <w:t>0000-0002-0468-8303</w:t>
      </w:r>
    </w:p>
    <w:p w14:paraId="17F86F8A" w14:textId="30634DEC" w:rsidR="000F419A" w:rsidRDefault="000F419A" w:rsidP="00154DC3">
      <w:pPr>
        <w:spacing w:after="120" w:line="480" w:lineRule="auto"/>
        <w:rPr>
          <w:bCs/>
        </w:rPr>
      </w:pPr>
      <w:r>
        <w:rPr>
          <w:bCs/>
        </w:rPr>
        <w:t>Steven J. Enoch</w:t>
      </w:r>
      <w:r w:rsidR="00E24BFA" w:rsidRPr="00C3000D">
        <w:rPr>
          <w:rStyle w:val="normaltextrun"/>
          <w:rFonts w:eastAsiaTheme="majorEastAsia" w:cstheme="minorHAnsi"/>
        </w:rPr>
        <w:t>: 0000-0001-9111-5783</w:t>
      </w:r>
    </w:p>
    <w:p w14:paraId="02E5D3E3" w14:textId="11CF8BAA" w:rsidR="000F419A" w:rsidRDefault="000F419A" w:rsidP="00154DC3">
      <w:pPr>
        <w:spacing w:after="120" w:line="480" w:lineRule="auto"/>
        <w:rPr>
          <w:bCs/>
        </w:rPr>
      </w:pPr>
      <w:r>
        <w:rPr>
          <w:bCs/>
        </w:rPr>
        <w:t>James W. Firman</w:t>
      </w:r>
      <w:r w:rsidR="00F665D3">
        <w:rPr>
          <w:bCs/>
        </w:rPr>
        <w:t xml:space="preserve">: </w:t>
      </w:r>
      <w:r w:rsidR="00F665D3" w:rsidRPr="00F665D3">
        <w:rPr>
          <w:bCs/>
        </w:rPr>
        <w:t>0000-0003-0319-1407</w:t>
      </w:r>
    </w:p>
    <w:p w14:paraId="3DE3ACF4" w14:textId="452A887E" w:rsidR="000F419A" w:rsidRDefault="000F419A" w:rsidP="00154DC3">
      <w:pPr>
        <w:spacing w:after="120" w:line="480" w:lineRule="auto"/>
        <w:rPr>
          <w:bCs/>
        </w:rPr>
      </w:pPr>
      <w:r>
        <w:rPr>
          <w:bCs/>
        </w:rPr>
        <w:t>Judith C. Madden</w:t>
      </w:r>
      <w:r w:rsidR="00E24BFA" w:rsidRPr="00C3000D">
        <w:rPr>
          <w:rStyle w:val="normaltextrun"/>
          <w:rFonts w:eastAsiaTheme="majorEastAsia" w:cstheme="minorHAnsi"/>
        </w:rPr>
        <w:t>: 0000-0001-6142-5860</w:t>
      </w:r>
    </w:p>
    <w:p w14:paraId="517A35F1" w14:textId="3C49E4C6" w:rsidR="000F419A" w:rsidRDefault="000F419A" w:rsidP="00154DC3">
      <w:pPr>
        <w:spacing w:after="120" w:line="480" w:lineRule="auto"/>
        <w:rPr>
          <w:bCs/>
        </w:rPr>
      </w:pPr>
      <w:r>
        <w:rPr>
          <w:bCs/>
        </w:rPr>
        <w:t xml:space="preserve">Nicoleta </w:t>
      </w:r>
      <w:proofErr w:type="spellStart"/>
      <w:r>
        <w:rPr>
          <w:bCs/>
        </w:rPr>
        <w:t>Sp</w:t>
      </w:r>
      <w:r>
        <w:rPr>
          <w:rFonts w:cstheme="minorHAnsi"/>
          <w:bCs/>
        </w:rPr>
        <w:t>î</w:t>
      </w:r>
      <w:r>
        <w:rPr>
          <w:bCs/>
        </w:rPr>
        <w:t>nu</w:t>
      </w:r>
      <w:proofErr w:type="spellEnd"/>
      <w:r w:rsidR="00E24BFA" w:rsidRPr="00C3000D">
        <w:rPr>
          <w:rStyle w:val="normaltextrun"/>
          <w:rFonts w:eastAsiaTheme="majorEastAsia" w:cstheme="minorHAnsi"/>
        </w:rPr>
        <w:t>: 0000-0002-9465-3090</w:t>
      </w:r>
    </w:p>
    <w:p w14:paraId="5395852B" w14:textId="70FE8E34" w:rsidR="000F419A" w:rsidRDefault="000F419A" w:rsidP="00154DC3">
      <w:pPr>
        <w:spacing w:after="120" w:line="480" w:lineRule="auto"/>
        <w:rPr>
          <w:bCs/>
        </w:rPr>
      </w:pPr>
      <w:r>
        <w:rPr>
          <w:bCs/>
        </w:rPr>
        <w:t>Mark T.D. Cronin</w:t>
      </w:r>
      <w:r w:rsidR="00E24BFA" w:rsidRPr="00C3000D">
        <w:rPr>
          <w:rStyle w:val="normaltextrun"/>
          <w:rFonts w:eastAsiaTheme="majorEastAsia" w:cstheme="minorHAnsi"/>
        </w:rPr>
        <w:t>: 0000-0002-6207-4158</w:t>
      </w:r>
    </w:p>
    <w:p w14:paraId="777C4A22" w14:textId="11B15C2D" w:rsidR="001A2899" w:rsidRDefault="002F3CB7" w:rsidP="00154DC3">
      <w:pPr>
        <w:spacing w:after="120" w:line="480" w:lineRule="auto"/>
        <w:rPr>
          <w:bCs/>
        </w:rPr>
      </w:pPr>
      <w:r>
        <w:br w:type="page"/>
      </w:r>
      <w:r w:rsidR="001A2899">
        <w:rPr>
          <w:b/>
        </w:rPr>
        <w:lastRenderedPageBreak/>
        <w:t>Abstract</w:t>
      </w:r>
    </w:p>
    <w:p w14:paraId="69E466AD" w14:textId="2D2CF1E6" w:rsidR="001A2899" w:rsidRDefault="00201FE1" w:rsidP="00154DC3">
      <w:pPr>
        <w:spacing w:after="120" w:line="480" w:lineRule="auto"/>
        <w:jc w:val="both"/>
        <w:rPr>
          <w:bCs/>
        </w:rPr>
      </w:pPr>
      <w:r w:rsidRPr="00154DC3">
        <w:rPr>
          <w:bCs/>
        </w:rPr>
        <w:t xml:space="preserve">The definition, characterisation and </w:t>
      </w:r>
      <w:r w:rsidR="00293DF6" w:rsidRPr="00154DC3">
        <w:rPr>
          <w:bCs/>
        </w:rPr>
        <w:t xml:space="preserve">assessment of the similarity between target and source molecules </w:t>
      </w:r>
      <w:r w:rsidR="00F82F4C" w:rsidRPr="00154DC3">
        <w:rPr>
          <w:bCs/>
        </w:rPr>
        <w:t xml:space="preserve">are </w:t>
      </w:r>
      <w:r w:rsidR="00293DF6" w:rsidRPr="00154DC3">
        <w:rPr>
          <w:bCs/>
        </w:rPr>
        <w:t xml:space="preserve">cornerstones of the acceptance </w:t>
      </w:r>
      <w:r w:rsidR="00785715" w:rsidRPr="00154DC3">
        <w:rPr>
          <w:bCs/>
        </w:rPr>
        <w:t>of a read-across prediction to fill a data gap for a toxicological endpoint</w:t>
      </w:r>
      <w:r w:rsidR="008E7AF0" w:rsidRPr="00154DC3">
        <w:rPr>
          <w:bCs/>
        </w:rPr>
        <w:t xml:space="preserve">. There is much guidance and many frameworks which are </w:t>
      </w:r>
      <w:r w:rsidR="0038703E" w:rsidRPr="00154DC3">
        <w:rPr>
          <w:bCs/>
        </w:rPr>
        <w:t xml:space="preserve">applicable in a regulatory context, but as yet no </w:t>
      </w:r>
      <w:r w:rsidR="00AF4ECB" w:rsidRPr="00154DC3">
        <w:rPr>
          <w:bCs/>
        </w:rPr>
        <w:t xml:space="preserve">formalised </w:t>
      </w:r>
      <w:r w:rsidR="0038703E" w:rsidRPr="00154DC3">
        <w:rPr>
          <w:bCs/>
        </w:rPr>
        <w:t xml:space="preserve">process </w:t>
      </w:r>
      <w:r w:rsidR="00401DB2" w:rsidRPr="00154DC3">
        <w:rPr>
          <w:bCs/>
        </w:rPr>
        <w:t xml:space="preserve">exists </w:t>
      </w:r>
      <w:r w:rsidR="0038703E" w:rsidRPr="00154DC3">
        <w:rPr>
          <w:bCs/>
        </w:rPr>
        <w:t xml:space="preserve">by which to </w:t>
      </w:r>
      <w:r w:rsidR="00401DB2" w:rsidRPr="00154DC3">
        <w:rPr>
          <w:bCs/>
        </w:rPr>
        <w:t xml:space="preserve">determine whether or not the properties of an analogue (or chemicals within a category) fall within an appropriate domain from which a reliable </w:t>
      </w:r>
      <w:r w:rsidR="00FA080B" w:rsidRPr="00154DC3">
        <w:rPr>
          <w:bCs/>
        </w:rPr>
        <w:t>read-across prediction</w:t>
      </w:r>
      <w:r w:rsidR="00401DB2" w:rsidRPr="00154DC3">
        <w:rPr>
          <w:bCs/>
        </w:rPr>
        <w:t xml:space="preserve"> can be made</w:t>
      </w:r>
      <w:r w:rsidR="00FA080B" w:rsidRPr="00154DC3">
        <w:rPr>
          <w:bCs/>
        </w:rPr>
        <w:t xml:space="preserve">. </w:t>
      </w:r>
      <w:r w:rsidR="00FA2B0B" w:rsidRPr="00154DC3">
        <w:rPr>
          <w:bCs/>
        </w:rPr>
        <w:t xml:space="preserve">This investigation has </w:t>
      </w:r>
      <w:r w:rsidR="00C71814" w:rsidRPr="00154DC3">
        <w:rPr>
          <w:bCs/>
        </w:rPr>
        <w:t xml:space="preserve">synthesised </w:t>
      </w:r>
      <w:r w:rsidR="00FA2B0B" w:rsidRPr="00154DC3">
        <w:rPr>
          <w:bCs/>
        </w:rPr>
        <w:t xml:space="preserve">much </w:t>
      </w:r>
      <w:r w:rsidR="00C71814" w:rsidRPr="00154DC3">
        <w:rPr>
          <w:bCs/>
        </w:rPr>
        <w:t xml:space="preserve">of the </w:t>
      </w:r>
      <w:r w:rsidR="00FA2B0B" w:rsidRPr="00154DC3">
        <w:rPr>
          <w:bCs/>
        </w:rPr>
        <w:t xml:space="preserve">existing knowledge </w:t>
      </w:r>
      <w:r w:rsidR="00C71814" w:rsidRPr="00154DC3">
        <w:rPr>
          <w:bCs/>
        </w:rPr>
        <w:t xml:space="preserve">in this area </w:t>
      </w:r>
      <w:r w:rsidR="00FA2B0B" w:rsidRPr="00154DC3">
        <w:rPr>
          <w:bCs/>
        </w:rPr>
        <w:t xml:space="preserve">into a </w:t>
      </w:r>
      <w:r w:rsidR="00C71814" w:rsidRPr="00154DC3">
        <w:rPr>
          <w:bCs/>
        </w:rPr>
        <w:t>practical strategy</w:t>
      </w:r>
      <w:r w:rsidR="00D21D71" w:rsidRPr="00154DC3">
        <w:rPr>
          <w:bCs/>
        </w:rPr>
        <w:t xml:space="preserve"> </w:t>
      </w:r>
      <w:r w:rsidR="00FA2B0B" w:rsidRPr="00154DC3">
        <w:rPr>
          <w:bCs/>
        </w:rPr>
        <w:t xml:space="preserve">to </w:t>
      </w:r>
      <w:r w:rsidR="00C71814" w:rsidRPr="00154DC3">
        <w:rPr>
          <w:bCs/>
        </w:rPr>
        <w:t xml:space="preserve">enable </w:t>
      </w:r>
      <w:r w:rsidR="00FA2B0B" w:rsidRPr="00154DC3">
        <w:rPr>
          <w:bCs/>
        </w:rPr>
        <w:t>the domain</w:t>
      </w:r>
      <w:r w:rsidR="00EB3A56" w:rsidRPr="00154DC3">
        <w:rPr>
          <w:bCs/>
        </w:rPr>
        <w:t xml:space="preserve"> </w:t>
      </w:r>
      <w:r w:rsidR="00FA2B0B" w:rsidRPr="00154DC3">
        <w:rPr>
          <w:bCs/>
        </w:rPr>
        <w:t xml:space="preserve">of </w:t>
      </w:r>
      <w:r w:rsidR="00EB3A56" w:rsidRPr="00154DC3">
        <w:rPr>
          <w:bCs/>
        </w:rPr>
        <w:t xml:space="preserve">a </w:t>
      </w:r>
      <w:r w:rsidR="00FA2B0B" w:rsidRPr="00154DC3">
        <w:rPr>
          <w:bCs/>
        </w:rPr>
        <w:t xml:space="preserve">read-across </w:t>
      </w:r>
      <w:r w:rsidR="00B76A5D" w:rsidRPr="00154DC3">
        <w:rPr>
          <w:bCs/>
        </w:rPr>
        <w:t>prediction</w:t>
      </w:r>
      <w:r w:rsidR="00EB3A56" w:rsidRPr="00154DC3">
        <w:rPr>
          <w:bCs/>
        </w:rPr>
        <w:t xml:space="preserve"> to be defined</w:t>
      </w:r>
      <w:r w:rsidR="00C71814" w:rsidRPr="00154DC3">
        <w:rPr>
          <w:bCs/>
        </w:rPr>
        <w:t>,</w:t>
      </w:r>
      <w:r w:rsidR="00B76A5D" w:rsidRPr="00154DC3">
        <w:rPr>
          <w:bCs/>
        </w:rPr>
        <w:t xml:space="preserve"> </w:t>
      </w:r>
      <w:r w:rsidR="00FA2B0B" w:rsidRPr="00154DC3">
        <w:rPr>
          <w:bCs/>
        </w:rPr>
        <w:t xml:space="preserve">in terms of chemistry (structure and properties), </w:t>
      </w:r>
      <w:proofErr w:type="spellStart"/>
      <w:r w:rsidR="00B4331A" w:rsidRPr="00154DC3">
        <w:rPr>
          <w:bCs/>
        </w:rPr>
        <w:t>toxicodynamics</w:t>
      </w:r>
      <w:proofErr w:type="spellEnd"/>
      <w:r w:rsidR="00B4331A" w:rsidRPr="00154DC3">
        <w:rPr>
          <w:bCs/>
        </w:rPr>
        <w:t xml:space="preserve"> and </w:t>
      </w:r>
      <w:proofErr w:type="spellStart"/>
      <w:r w:rsidR="00B4331A" w:rsidRPr="00154DC3">
        <w:rPr>
          <w:bCs/>
        </w:rPr>
        <w:t>toxicokinetics</w:t>
      </w:r>
      <w:proofErr w:type="spellEnd"/>
      <w:r w:rsidR="00B4331A" w:rsidRPr="00154DC3">
        <w:rPr>
          <w:bCs/>
        </w:rPr>
        <w:t xml:space="preserve">. </w:t>
      </w:r>
      <w:r w:rsidR="007110CD" w:rsidRPr="00154DC3">
        <w:rPr>
          <w:bCs/>
        </w:rPr>
        <w:t xml:space="preserve">The </w:t>
      </w:r>
      <w:r w:rsidR="00C71814" w:rsidRPr="00154DC3">
        <w:rPr>
          <w:bCs/>
        </w:rPr>
        <w:t>strategy</w:t>
      </w:r>
      <w:r w:rsidR="00B76A5D" w:rsidRPr="00154DC3">
        <w:rPr>
          <w:bCs/>
        </w:rPr>
        <w:t xml:space="preserve"> </w:t>
      </w:r>
      <w:r w:rsidR="007110CD" w:rsidRPr="00154DC3">
        <w:rPr>
          <w:bCs/>
        </w:rPr>
        <w:t>is robust</w:t>
      </w:r>
      <w:r w:rsidR="001C4C1C" w:rsidRPr="00154DC3">
        <w:rPr>
          <w:bCs/>
        </w:rPr>
        <w:t>,</w:t>
      </w:r>
      <w:r w:rsidR="007110CD" w:rsidRPr="00154DC3">
        <w:rPr>
          <w:bCs/>
        </w:rPr>
        <w:t xml:space="preserve"> comprehensive</w:t>
      </w:r>
      <w:r w:rsidR="00B76A5D" w:rsidRPr="00154DC3">
        <w:rPr>
          <w:bCs/>
        </w:rPr>
        <w:t>,</w:t>
      </w:r>
      <w:r w:rsidR="001C4C1C" w:rsidRPr="00154DC3">
        <w:rPr>
          <w:bCs/>
        </w:rPr>
        <w:t xml:space="preserve"> flexible</w:t>
      </w:r>
      <w:r w:rsidR="00C55808" w:rsidRPr="00154DC3">
        <w:rPr>
          <w:bCs/>
        </w:rPr>
        <w:t>,</w:t>
      </w:r>
      <w:r w:rsidR="001C4C1C" w:rsidRPr="00154DC3">
        <w:rPr>
          <w:bCs/>
        </w:rPr>
        <w:t xml:space="preserve"> </w:t>
      </w:r>
      <w:r w:rsidR="007110CD" w:rsidRPr="00154DC3">
        <w:rPr>
          <w:bCs/>
        </w:rPr>
        <w:t xml:space="preserve">and </w:t>
      </w:r>
      <w:r w:rsidR="00B76A5D" w:rsidRPr="00154DC3">
        <w:rPr>
          <w:bCs/>
        </w:rPr>
        <w:t>can be</w:t>
      </w:r>
      <w:r w:rsidR="007110CD" w:rsidRPr="00154DC3">
        <w:rPr>
          <w:bCs/>
        </w:rPr>
        <w:t xml:space="preserve"> implement</w:t>
      </w:r>
      <w:r w:rsidR="00B76A5D" w:rsidRPr="00154DC3">
        <w:rPr>
          <w:bCs/>
        </w:rPr>
        <w:t>ed readily</w:t>
      </w:r>
      <w:r w:rsidR="007110CD" w:rsidRPr="00154DC3">
        <w:rPr>
          <w:bCs/>
        </w:rPr>
        <w:t xml:space="preserve">. </w:t>
      </w:r>
      <w:r w:rsidR="00F82F4C" w:rsidRPr="00154DC3">
        <w:rPr>
          <w:bCs/>
        </w:rPr>
        <w:t xml:space="preserve">It </w:t>
      </w:r>
      <w:r w:rsidR="00B76A5D" w:rsidRPr="00154DC3">
        <w:rPr>
          <w:bCs/>
        </w:rPr>
        <w:t xml:space="preserve">enables </w:t>
      </w:r>
      <w:r w:rsidR="002B71E5" w:rsidRPr="00154DC3">
        <w:rPr>
          <w:bCs/>
        </w:rPr>
        <w:t>the relative similarity and dissimilarity</w:t>
      </w:r>
      <w:r w:rsidR="00B76A5D" w:rsidRPr="00154DC3">
        <w:rPr>
          <w:bCs/>
        </w:rPr>
        <w:t>,</w:t>
      </w:r>
      <w:r w:rsidR="002B71E5" w:rsidRPr="00154DC3">
        <w:rPr>
          <w:bCs/>
        </w:rPr>
        <w:t xml:space="preserve"> between </w:t>
      </w:r>
      <w:r w:rsidR="00C22441" w:rsidRPr="00154DC3">
        <w:rPr>
          <w:bCs/>
        </w:rPr>
        <w:t xml:space="preserve">target and source </w:t>
      </w:r>
      <w:r w:rsidR="002B71E5" w:rsidRPr="00154DC3">
        <w:rPr>
          <w:bCs/>
        </w:rPr>
        <w:t>molecules</w:t>
      </w:r>
      <w:r w:rsidR="00B76A5D" w:rsidRPr="00154DC3">
        <w:rPr>
          <w:bCs/>
        </w:rPr>
        <w:t>,</w:t>
      </w:r>
      <w:r w:rsidR="00C22441" w:rsidRPr="00154DC3">
        <w:rPr>
          <w:bCs/>
        </w:rPr>
        <w:t xml:space="preserve"> for both the analogue and category approaches</w:t>
      </w:r>
      <w:r w:rsidR="00EB3A56" w:rsidRPr="00154DC3">
        <w:rPr>
          <w:bCs/>
        </w:rPr>
        <w:t>,</w:t>
      </w:r>
      <w:r w:rsidR="00B76A5D" w:rsidRPr="00154DC3">
        <w:rPr>
          <w:bCs/>
        </w:rPr>
        <w:t xml:space="preserve"> to be </w:t>
      </w:r>
      <w:r w:rsidR="0056521A">
        <w:rPr>
          <w:bCs/>
        </w:rPr>
        <w:t>analysed</w:t>
      </w:r>
      <w:r w:rsidR="00EB3A56" w:rsidRPr="00154DC3">
        <w:rPr>
          <w:bCs/>
        </w:rPr>
        <w:t xml:space="preserve"> and provides a basis for alternative scenarios such as read-across</w:t>
      </w:r>
      <w:r w:rsidR="00D718CA" w:rsidRPr="00154DC3">
        <w:rPr>
          <w:bCs/>
        </w:rPr>
        <w:t xml:space="preserve"> based on formation of a common metabolite or biological profile</w:t>
      </w:r>
      <w:r w:rsidR="00126AF3">
        <w:rPr>
          <w:bCs/>
        </w:rPr>
        <w:t xml:space="preserve"> to be </w:t>
      </w:r>
      <w:proofErr w:type="spellStart"/>
      <w:r w:rsidR="00126AF3">
        <w:rPr>
          <w:bCs/>
        </w:rPr>
        <w:t>defiend</w:t>
      </w:r>
      <w:proofErr w:type="spellEnd"/>
      <w:r w:rsidR="006C798A">
        <w:rPr>
          <w:bCs/>
        </w:rPr>
        <w:t xml:space="preserve">. </w:t>
      </w:r>
      <w:r w:rsidR="00B76A5D" w:rsidRPr="00CF18C5">
        <w:rPr>
          <w:bCs/>
        </w:rPr>
        <w:t>Herein, t</w:t>
      </w:r>
      <w:r w:rsidR="00E54EFA" w:rsidRPr="00CF18C5">
        <w:rPr>
          <w:bCs/>
        </w:rPr>
        <w:t xml:space="preserve">he read-across domains for </w:t>
      </w:r>
      <w:r w:rsidR="003F74A9" w:rsidRPr="00CF18C5">
        <w:rPr>
          <w:bCs/>
        </w:rPr>
        <w:t xml:space="preserve">the repeated dose toxicity of </w:t>
      </w:r>
      <w:r w:rsidR="00E54EFA" w:rsidRPr="00CF18C5">
        <w:rPr>
          <w:bCs/>
        </w:rPr>
        <w:t>a group of triazoles</w:t>
      </w:r>
      <w:r w:rsidR="00A04DDD" w:rsidRPr="00CF18C5">
        <w:rPr>
          <w:bCs/>
        </w:rPr>
        <w:t xml:space="preserve"> and </w:t>
      </w:r>
      <w:proofErr w:type="spellStart"/>
      <w:r w:rsidR="00A04DDD" w:rsidRPr="00CF18C5">
        <w:rPr>
          <w:bCs/>
        </w:rPr>
        <w:t>imidazole</w:t>
      </w:r>
      <w:r w:rsidR="003F74A9" w:rsidRPr="00CF18C5">
        <w:rPr>
          <w:bCs/>
        </w:rPr>
        <w:t>s</w:t>
      </w:r>
      <w:proofErr w:type="spellEnd"/>
      <w:r w:rsidR="00B76A5D" w:rsidRPr="00CF18C5">
        <w:rPr>
          <w:bCs/>
        </w:rPr>
        <w:t xml:space="preserve"> have been </w:t>
      </w:r>
      <w:r w:rsidR="00A81C0B" w:rsidRPr="00CF18C5">
        <w:rPr>
          <w:bCs/>
        </w:rPr>
        <w:t>evaluated</w:t>
      </w:r>
      <w:r w:rsidR="00E54EFA" w:rsidRPr="00CF18C5">
        <w:rPr>
          <w:bCs/>
        </w:rPr>
        <w:t xml:space="preserve">. </w:t>
      </w:r>
      <w:r w:rsidR="00B95C54" w:rsidRPr="00CF18C5">
        <w:rPr>
          <w:bCs/>
        </w:rPr>
        <w:t xml:space="preserve">The most challenging aspect to this approach will continue to be determining what is </w:t>
      </w:r>
      <w:r w:rsidR="00A81C0B" w:rsidRPr="00CF18C5">
        <w:rPr>
          <w:bCs/>
        </w:rPr>
        <w:t xml:space="preserve">an </w:t>
      </w:r>
      <w:r w:rsidR="00B95C54" w:rsidRPr="00CF18C5">
        <w:rPr>
          <w:bCs/>
        </w:rPr>
        <w:t xml:space="preserve">“acceptable” </w:t>
      </w:r>
      <w:r w:rsidR="00A81C0B" w:rsidRPr="00CF18C5">
        <w:rPr>
          <w:bCs/>
        </w:rPr>
        <w:t>degree of</w:t>
      </w:r>
      <w:r w:rsidR="00B95C54" w:rsidRPr="00CF18C5">
        <w:rPr>
          <w:bCs/>
        </w:rPr>
        <w:t xml:space="preserve"> similarity </w:t>
      </w:r>
      <w:r w:rsidR="00A81C0B" w:rsidRPr="00CF18C5">
        <w:rPr>
          <w:bCs/>
        </w:rPr>
        <w:t xml:space="preserve">when performing read-across </w:t>
      </w:r>
      <w:r w:rsidR="00B95C54" w:rsidRPr="00CF18C5">
        <w:rPr>
          <w:bCs/>
        </w:rPr>
        <w:t>for a specific purpose.</w:t>
      </w:r>
      <w:r w:rsidR="00B95C54">
        <w:rPr>
          <w:bCs/>
        </w:rPr>
        <w:t xml:space="preserve"> </w:t>
      </w:r>
    </w:p>
    <w:p w14:paraId="00958029" w14:textId="77777777" w:rsidR="00785715" w:rsidRDefault="00785715" w:rsidP="00154DC3">
      <w:pPr>
        <w:spacing w:after="120" w:line="480" w:lineRule="auto"/>
        <w:jc w:val="both"/>
        <w:rPr>
          <w:bCs/>
        </w:rPr>
      </w:pPr>
    </w:p>
    <w:p w14:paraId="7A43E05F" w14:textId="7044A2F1" w:rsidR="001A2899" w:rsidRDefault="001A2899" w:rsidP="00154DC3">
      <w:pPr>
        <w:spacing w:after="120" w:line="480" w:lineRule="auto"/>
        <w:jc w:val="both"/>
        <w:rPr>
          <w:bCs/>
        </w:rPr>
      </w:pPr>
      <w:r>
        <w:rPr>
          <w:b/>
        </w:rPr>
        <w:t xml:space="preserve">Keywords: </w:t>
      </w:r>
      <w:r w:rsidR="00EB3060">
        <w:rPr>
          <w:bCs/>
        </w:rPr>
        <w:t>Read-Across</w:t>
      </w:r>
      <w:r>
        <w:rPr>
          <w:bCs/>
        </w:rPr>
        <w:t xml:space="preserve">; Toxicity prediction; </w:t>
      </w:r>
      <w:r w:rsidR="00EB3060">
        <w:rPr>
          <w:bCs/>
        </w:rPr>
        <w:t>Domain; Analogue; Category</w:t>
      </w:r>
      <w:r>
        <w:rPr>
          <w:bCs/>
        </w:rPr>
        <w:t xml:space="preserve"> </w:t>
      </w:r>
    </w:p>
    <w:p w14:paraId="5E797FBC" w14:textId="77777777" w:rsidR="00EB3060" w:rsidRDefault="00EB3060" w:rsidP="00154DC3">
      <w:pPr>
        <w:spacing w:after="120" w:line="480" w:lineRule="auto"/>
        <w:jc w:val="both"/>
        <w:rPr>
          <w:b/>
        </w:rPr>
      </w:pPr>
    </w:p>
    <w:p w14:paraId="25FB9751" w14:textId="38631F3F" w:rsidR="00E24BFA" w:rsidRDefault="002B259B" w:rsidP="00154DC3">
      <w:pPr>
        <w:pStyle w:val="paragraph"/>
        <w:spacing w:before="0" w:beforeAutospacing="0" w:after="120" w:afterAutospacing="0" w:line="480" w:lineRule="auto"/>
        <w:textAlignment w:val="baseline"/>
        <w:rPr>
          <w:rStyle w:val="normaltextrun"/>
          <w:rFonts w:asciiTheme="minorHAnsi" w:eastAsiaTheme="majorEastAsia" w:hAnsiTheme="minorHAnsi" w:cstheme="minorHAnsi"/>
          <w:noProof w:val="0"/>
          <w:sz w:val="22"/>
          <w:szCs w:val="22"/>
        </w:rPr>
      </w:pPr>
      <w:r>
        <w:rPr>
          <w:b/>
        </w:rPr>
        <w:br w:type="page"/>
      </w:r>
    </w:p>
    <w:p w14:paraId="1903A170" w14:textId="5365CC21" w:rsidR="001A2899" w:rsidRDefault="001A2899" w:rsidP="00154DC3">
      <w:pPr>
        <w:spacing w:after="120" w:line="480" w:lineRule="auto"/>
        <w:rPr>
          <w:b/>
        </w:rPr>
      </w:pPr>
      <w:r>
        <w:rPr>
          <w:b/>
        </w:rPr>
        <w:t>Graphical Abstract</w:t>
      </w:r>
    </w:p>
    <w:p w14:paraId="60C65214" w14:textId="1BA5FC6C" w:rsidR="001C3A92" w:rsidRDefault="008F61C6" w:rsidP="00154DC3">
      <w:pPr>
        <w:spacing w:after="120" w:line="480" w:lineRule="auto"/>
        <w:rPr>
          <w:b/>
        </w:rPr>
      </w:pPr>
      <w:r>
        <w:rPr>
          <w:b/>
          <w:noProof/>
          <w:lang w:eastAsia="en-GB"/>
        </w:rPr>
        <w:drawing>
          <wp:inline distT="0" distB="0" distL="0" distR="0" wp14:anchorId="21F391A4" wp14:editId="061F642A">
            <wp:extent cx="3810635" cy="3712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3712845"/>
                    </a:xfrm>
                    <a:prstGeom prst="rect">
                      <a:avLst/>
                    </a:prstGeom>
                    <a:noFill/>
                  </pic:spPr>
                </pic:pic>
              </a:graphicData>
            </a:graphic>
          </wp:inline>
        </w:drawing>
      </w:r>
      <w:r w:rsidR="001C3A92">
        <w:rPr>
          <w:b/>
        </w:rPr>
        <w:br w:type="page"/>
      </w:r>
    </w:p>
    <w:p w14:paraId="06989445" w14:textId="0567236A" w:rsidR="001A2899" w:rsidRDefault="001A2899" w:rsidP="00154DC3">
      <w:pPr>
        <w:spacing w:after="120" w:line="480" w:lineRule="auto"/>
        <w:rPr>
          <w:b/>
        </w:rPr>
      </w:pPr>
      <w:r>
        <w:rPr>
          <w:b/>
        </w:rPr>
        <w:t>Highlights</w:t>
      </w:r>
    </w:p>
    <w:p w14:paraId="57E2C74F" w14:textId="29BB9AE4" w:rsidR="001A2899" w:rsidRPr="004639E8" w:rsidRDefault="0071431E" w:rsidP="00154DC3">
      <w:pPr>
        <w:pStyle w:val="ListParagraph"/>
        <w:numPr>
          <w:ilvl w:val="0"/>
          <w:numId w:val="3"/>
        </w:numPr>
        <w:spacing w:after="120" w:line="480" w:lineRule="auto"/>
        <w:rPr>
          <w:b/>
        </w:rPr>
      </w:pPr>
      <w:r>
        <w:rPr>
          <w:bCs/>
        </w:rPr>
        <w:t>A strategy to define the a</w:t>
      </w:r>
      <w:r w:rsidR="004639E8">
        <w:rPr>
          <w:bCs/>
        </w:rPr>
        <w:t>pplicability domain</w:t>
      </w:r>
      <w:r>
        <w:rPr>
          <w:bCs/>
        </w:rPr>
        <w:t xml:space="preserve"> of</w:t>
      </w:r>
      <w:r w:rsidR="004639E8">
        <w:rPr>
          <w:bCs/>
        </w:rPr>
        <w:t xml:space="preserve"> analogues and categories </w:t>
      </w:r>
      <w:r>
        <w:rPr>
          <w:bCs/>
        </w:rPr>
        <w:t>for read-across</w:t>
      </w:r>
    </w:p>
    <w:p w14:paraId="441C5D4A" w14:textId="41C591E4" w:rsidR="004639E8" w:rsidRPr="004639E8" w:rsidRDefault="004639E8" w:rsidP="00154DC3">
      <w:pPr>
        <w:pStyle w:val="ListParagraph"/>
        <w:numPr>
          <w:ilvl w:val="0"/>
          <w:numId w:val="3"/>
        </w:numPr>
        <w:spacing w:after="120" w:line="480" w:lineRule="auto"/>
        <w:rPr>
          <w:b/>
        </w:rPr>
      </w:pPr>
      <w:r>
        <w:rPr>
          <w:bCs/>
        </w:rPr>
        <w:t xml:space="preserve">Domains characterised in terms of chemistry, </w:t>
      </w:r>
      <w:proofErr w:type="spellStart"/>
      <w:r>
        <w:rPr>
          <w:bCs/>
        </w:rPr>
        <w:t>toxicodynamics</w:t>
      </w:r>
      <w:proofErr w:type="spellEnd"/>
      <w:r>
        <w:rPr>
          <w:bCs/>
        </w:rPr>
        <w:t xml:space="preserve"> and </w:t>
      </w:r>
      <w:proofErr w:type="spellStart"/>
      <w:r>
        <w:rPr>
          <w:bCs/>
        </w:rPr>
        <w:t>toxicokinetics</w:t>
      </w:r>
      <w:proofErr w:type="spellEnd"/>
    </w:p>
    <w:p w14:paraId="282868A9" w14:textId="75DB7149" w:rsidR="0067170E" w:rsidRPr="00AF6C3E" w:rsidRDefault="0067170E" w:rsidP="00154DC3">
      <w:pPr>
        <w:pStyle w:val="ListParagraph"/>
        <w:numPr>
          <w:ilvl w:val="0"/>
          <w:numId w:val="3"/>
        </w:numPr>
        <w:spacing w:after="120" w:line="480" w:lineRule="auto"/>
        <w:rPr>
          <w:b/>
        </w:rPr>
      </w:pPr>
      <w:r>
        <w:rPr>
          <w:bCs/>
        </w:rPr>
        <w:t xml:space="preserve">Assessment of domains </w:t>
      </w:r>
      <w:r w:rsidR="00B612A0">
        <w:rPr>
          <w:bCs/>
        </w:rPr>
        <w:t>enables</w:t>
      </w:r>
      <w:r>
        <w:rPr>
          <w:bCs/>
        </w:rPr>
        <w:t xml:space="preserve"> </w:t>
      </w:r>
      <w:r w:rsidR="00477E47">
        <w:rPr>
          <w:bCs/>
        </w:rPr>
        <w:t>many lines of evidence</w:t>
      </w:r>
      <w:r w:rsidR="00B612A0">
        <w:rPr>
          <w:bCs/>
        </w:rPr>
        <w:t xml:space="preserve"> to be incorporated</w:t>
      </w:r>
    </w:p>
    <w:p w14:paraId="5607D6AF" w14:textId="346059AD" w:rsidR="00AF6C3E" w:rsidRPr="00EB2E34" w:rsidRDefault="00AF6C3E" w:rsidP="00154DC3">
      <w:pPr>
        <w:pStyle w:val="ListParagraph"/>
        <w:numPr>
          <w:ilvl w:val="0"/>
          <w:numId w:val="3"/>
        </w:numPr>
        <w:spacing w:after="120" w:line="480" w:lineRule="auto"/>
        <w:rPr>
          <w:b/>
        </w:rPr>
      </w:pPr>
      <w:r>
        <w:rPr>
          <w:bCs/>
        </w:rPr>
        <w:t xml:space="preserve">Domain assessment is a simple-to-use, yet powerful, </w:t>
      </w:r>
      <w:r w:rsidR="00675072">
        <w:rPr>
          <w:bCs/>
        </w:rPr>
        <w:t>approach</w:t>
      </w:r>
    </w:p>
    <w:p w14:paraId="6E8B3B1F" w14:textId="77777777" w:rsidR="00092A20" w:rsidRDefault="00092A20" w:rsidP="00154DC3">
      <w:pPr>
        <w:spacing w:after="120" w:line="480" w:lineRule="auto"/>
        <w:rPr>
          <w:b/>
        </w:rPr>
      </w:pPr>
      <w:r>
        <w:rPr>
          <w:b/>
        </w:rPr>
        <w:br w:type="page"/>
      </w:r>
    </w:p>
    <w:p w14:paraId="0304DC63" w14:textId="269F25DE" w:rsidR="001A2899" w:rsidRDefault="001A2899" w:rsidP="00154DC3">
      <w:pPr>
        <w:spacing w:after="120" w:line="480" w:lineRule="auto"/>
        <w:jc w:val="both"/>
      </w:pPr>
      <w:r w:rsidRPr="007D7FDB">
        <w:rPr>
          <w:b/>
        </w:rPr>
        <w:t>Abbreviations</w:t>
      </w:r>
      <w:r>
        <w:rPr>
          <w:bCs/>
        </w:rPr>
        <w:t xml:space="preserve">: </w:t>
      </w:r>
      <w:r w:rsidR="007B2416" w:rsidRPr="007D682C">
        <w:t>ADME</w:t>
      </w:r>
      <w:r w:rsidR="007B2416">
        <w:t>, absorption, distribution, metabolism excretion;</w:t>
      </w:r>
      <w:r w:rsidR="00CF1F72">
        <w:t xml:space="preserve"> </w:t>
      </w:r>
      <w:proofErr w:type="spellStart"/>
      <w:r w:rsidR="00CF1F72">
        <w:t>B</w:t>
      </w:r>
      <w:r w:rsidR="00AF1377">
        <w:t>P</w:t>
      </w:r>
      <w:r w:rsidR="00CF1F72">
        <w:t>t</w:t>
      </w:r>
      <w:proofErr w:type="spellEnd"/>
      <w:r w:rsidR="00CF1F72">
        <w:t>, boiling point;</w:t>
      </w:r>
      <w:r w:rsidR="007B2416">
        <w:t xml:space="preserve"> </w:t>
      </w:r>
      <w:r w:rsidR="00FE3F97">
        <w:t>CAS, Chemical Abstracts Service;</w:t>
      </w:r>
      <w:r w:rsidR="00AF1377">
        <w:t xml:space="preserve"> </w:t>
      </w:r>
      <w:proofErr w:type="spellStart"/>
      <w:r w:rsidR="00AF1377">
        <w:t>Cmax</w:t>
      </w:r>
      <w:proofErr w:type="spellEnd"/>
      <w:r w:rsidR="00AF1377">
        <w:t xml:space="preserve">, maximum plasma concentration; </w:t>
      </w:r>
      <w:proofErr w:type="spellStart"/>
      <w:r w:rsidR="00AF1377">
        <w:t>Css</w:t>
      </w:r>
      <w:proofErr w:type="spellEnd"/>
      <w:r w:rsidR="00AF1377">
        <w:t>, steady-state plasma concentration;</w:t>
      </w:r>
      <w:r w:rsidR="00FE3F97">
        <w:t xml:space="preserve"> </w:t>
      </w:r>
      <w:r w:rsidR="00B32BB5" w:rsidRPr="00B32BB5">
        <w:rPr>
          <w:bCs/>
        </w:rPr>
        <w:t>ECHA</w:t>
      </w:r>
      <w:r w:rsidR="00B32BB5">
        <w:rPr>
          <w:bCs/>
        </w:rPr>
        <w:t>,</w:t>
      </w:r>
      <w:r w:rsidR="00B32BB5" w:rsidRPr="00B32BB5">
        <w:rPr>
          <w:bCs/>
        </w:rPr>
        <w:t xml:space="preserve"> European Chemicals Agency</w:t>
      </w:r>
      <w:r w:rsidR="00B32BB5">
        <w:rPr>
          <w:bCs/>
        </w:rPr>
        <w:t>;</w:t>
      </w:r>
      <w:r w:rsidR="00B32BB5" w:rsidRPr="00B32BB5">
        <w:rPr>
          <w:bCs/>
        </w:rPr>
        <w:t xml:space="preserve"> </w:t>
      </w:r>
      <w:r w:rsidR="00B510A7">
        <w:rPr>
          <w:bCs/>
        </w:rPr>
        <w:t xml:space="preserve">GSH, Glutathione; </w:t>
      </w:r>
      <w:r w:rsidR="007F587F">
        <w:rPr>
          <w:bCs/>
        </w:rPr>
        <w:t xml:space="preserve">ICE, </w:t>
      </w:r>
      <w:r w:rsidR="007F587F" w:rsidRPr="007F587F">
        <w:t>Integrated Chemical Environment</w:t>
      </w:r>
      <w:r w:rsidR="007F587F">
        <w:t xml:space="preserve">; </w:t>
      </w:r>
      <w:r>
        <w:rPr>
          <w:bCs/>
        </w:rPr>
        <w:t>log P, logarithm of the octanol-water partition coefficient;</w:t>
      </w:r>
      <w:r w:rsidR="00A61BBA">
        <w:rPr>
          <w:bCs/>
        </w:rPr>
        <w:t xml:space="preserve"> </w:t>
      </w:r>
      <w:r w:rsidR="00330120">
        <w:rPr>
          <w:bCs/>
        </w:rPr>
        <w:t xml:space="preserve">MIE, Molecular Initiating Event; </w:t>
      </w:r>
      <w:r w:rsidR="008B089E">
        <w:t>MW, molecular weight;</w:t>
      </w:r>
      <w:r w:rsidR="00CF1F72">
        <w:t xml:space="preserve"> </w:t>
      </w:r>
      <w:proofErr w:type="spellStart"/>
      <w:r w:rsidR="00CF1F72">
        <w:t>M</w:t>
      </w:r>
      <w:r w:rsidR="00AF1377">
        <w:t>P</w:t>
      </w:r>
      <w:r w:rsidR="00CF1F72">
        <w:t>t</w:t>
      </w:r>
      <w:proofErr w:type="spellEnd"/>
      <w:r w:rsidR="00CF1F72">
        <w:t>, melting point,</w:t>
      </w:r>
      <w:r w:rsidR="008B089E">
        <w:t xml:space="preserve"> </w:t>
      </w:r>
      <w:r w:rsidR="00F02D8D">
        <w:t xml:space="preserve">NAM, New Approach Methodology; </w:t>
      </w:r>
      <w:r w:rsidR="007F587F" w:rsidRPr="007F587F">
        <w:t>NEIHS</w:t>
      </w:r>
      <w:r w:rsidR="007F587F">
        <w:t>,</w:t>
      </w:r>
      <w:r w:rsidR="007F587F" w:rsidRPr="007F587F">
        <w:t xml:space="preserve"> National Institute of Environmental Health Sciences</w:t>
      </w:r>
      <w:r w:rsidR="007F587F">
        <w:t>;</w:t>
      </w:r>
      <w:r w:rsidR="007F587F" w:rsidRPr="007F587F">
        <w:t xml:space="preserve"> </w:t>
      </w:r>
      <w:r w:rsidR="00FE3F97" w:rsidRPr="00FE3F97">
        <w:t>NOAEL</w:t>
      </w:r>
      <w:r w:rsidR="00FE3F97">
        <w:t>,</w:t>
      </w:r>
      <w:r w:rsidR="00FE3F97" w:rsidRPr="00FE3F97">
        <w:t xml:space="preserve"> No Observed Adverse Effect Level</w:t>
      </w:r>
      <w:r w:rsidR="00FE3F97">
        <w:t xml:space="preserve">; </w:t>
      </w:r>
      <w:r w:rsidR="00310F96">
        <w:t xml:space="preserve">OECD, Organisation for Economic Cooperation and Development; </w:t>
      </w:r>
      <w:r w:rsidR="000D7BD2" w:rsidRPr="002915C1">
        <w:t>PBPK</w:t>
      </w:r>
      <w:r w:rsidR="000D7BD2">
        <w:t xml:space="preserve">; </w:t>
      </w:r>
      <w:r w:rsidR="002915C1">
        <w:t>Physiologically-</w:t>
      </w:r>
      <w:r w:rsidR="00F63CF8">
        <w:t>b</w:t>
      </w:r>
      <w:r w:rsidR="002915C1">
        <w:t xml:space="preserve">ased </w:t>
      </w:r>
      <w:r w:rsidR="00F63CF8">
        <w:t>p</w:t>
      </w:r>
      <w:r w:rsidR="002915C1">
        <w:t>harmacokinetics</w:t>
      </w:r>
      <w:r w:rsidR="000D7BD2">
        <w:t>;</w:t>
      </w:r>
      <w:r w:rsidR="002915C1">
        <w:t xml:space="preserve"> </w:t>
      </w:r>
      <w:r w:rsidR="000624DC">
        <w:t>PC, Princip</w:t>
      </w:r>
      <w:r w:rsidR="004E214A">
        <w:t>a</w:t>
      </w:r>
      <w:r w:rsidR="000624DC">
        <w:t xml:space="preserve">l Component; </w:t>
      </w:r>
      <w:r>
        <w:t>Q</w:t>
      </w:r>
      <w:r w:rsidRPr="006556A1">
        <w:t>SAR</w:t>
      </w:r>
      <w:r>
        <w:t>, q</w:t>
      </w:r>
      <w:r w:rsidRPr="006556A1">
        <w:t>uantitative structure</w:t>
      </w:r>
      <w:r>
        <w:t>-</w:t>
      </w:r>
      <w:r w:rsidRPr="006556A1">
        <w:t>activity relationship</w:t>
      </w:r>
      <w:r w:rsidR="00B32BB5">
        <w:t>;</w:t>
      </w:r>
      <w:r>
        <w:t xml:space="preserve"> </w:t>
      </w:r>
      <w:r w:rsidR="00B32BB5">
        <w:t xml:space="preserve">RAAF, </w:t>
      </w:r>
      <w:r w:rsidR="00B32BB5" w:rsidRPr="00B32BB5">
        <w:rPr>
          <w:bCs/>
        </w:rPr>
        <w:t>Read-Across Assessment Framework</w:t>
      </w:r>
      <w:r w:rsidR="00A61BBA">
        <w:rPr>
          <w:bCs/>
        </w:rPr>
        <w:t xml:space="preserve">; </w:t>
      </w:r>
      <w:r w:rsidR="005E07AA" w:rsidRPr="009F286E">
        <w:t>US EPA</w:t>
      </w:r>
      <w:r w:rsidR="005E07AA">
        <w:t>,</w:t>
      </w:r>
      <w:r w:rsidR="005E07AA">
        <w:rPr>
          <w:bCs/>
        </w:rPr>
        <w:t xml:space="preserve"> </w:t>
      </w:r>
      <w:r w:rsidR="005E07AA" w:rsidRPr="009F286E">
        <w:t>United States Environmental Protection Agency</w:t>
      </w:r>
      <w:r w:rsidR="005E07AA">
        <w:rPr>
          <w:bCs/>
        </w:rPr>
        <w:t xml:space="preserve">; </w:t>
      </w:r>
      <w:r w:rsidR="00A61BBA">
        <w:rPr>
          <w:bCs/>
        </w:rPr>
        <w:t xml:space="preserve">VP, </w:t>
      </w:r>
      <w:r w:rsidR="00F63CF8">
        <w:rPr>
          <w:bCs/>
        </w:rPr>
        <w:t>v</w:t>
      </w:r>
      <w:r w:rsidR="00A61BBA">
        <w:rPr>
          <w:bCs/>
        </w:rPr>
        <w:t xml:space="preserve">apour </w:t>
      </w:r>
      <w:r w:rsidR="00F63CF8">
        <w:rPr>
          <w:bCs/>
        </w:rPr>
        <w:t>p</w:t>
      </w:r>
      <w:r w:rsidR="00A61BBA">
        <w:rPr>
          <w:bCs/>
        </w:rPr>
        <w:t>ressure</w:t>
      </w:r>
      <w:r w:rsidR="00972F2E">
        <w:rPr>
          <w:bCs/>
        </w:rPr>
        <w:t>; UVCBs</w:t>
      </w:r>
      <w:r w:rsidR="007D7A3B">
        <w:rPr>
          <w:bCs/>
        </w:rPr>
        <w:t xml:space="preserve">, </w:t>
      </w:r>
      <w:r w:rsidR="007D7A3B" w:rsidRPr="007D7A3B">
        <w:rPr>
          <w:bCs/>
        </w:rPr>
        <w:t>unknown or variable composition, complex reaction products</w:t>
      </w:r>
    </w:p>
    <w:p w14:paraId="6C877FB4" w14:textId="77777777" w:rsidR="001A2899" w:rsidRPr="007D7FDB" w:rsidRDefault="001A2899" w:rsidP="00154DC3">
      <w:pPr>
        <w:spacing w:after="120" w:line="480" w:lineRule="auto"/>
        <w:rPr>
          <w:bCs/>
        </w:rPr>
      </w:pPr>
    </w:p>
    <w:p w14:paraId="253B1002" w14:textId="77777777" w:rsidR="001A2899" w:rsidRDefault="001A2899" w:rsidP="00154DC3">
      <w:pPr>
        <w:spacing w:after="120" w:line="480" w:lineRule="auto"/>
        <w:rPr>
          <w:b/>
        </w:rPr>
      </w:pPr>
    </w:p>
    <w:p w14:paraId="65E1F19E" w14:textId="77777777" w:rsidR="001A2899" w:rsidRDefault="001A2899" w:rsidP="00154DC3">
      <w:pPr>
        <w:spacing w:after="120" w:line="480" w:lineRule="auto"/>
        <w:rPr>
          <w:b/>
        </w:rPr>
      </w:pPr>
      <w:r>
        <w:rPr>
          <w:b/>
        </w:rPr>
        <w:br w:type="page"/>
      </w:r>
    </w:p>
    <w:p w14:paraId="27FF32E3" w14:textId="7DDBB618" w:rsidR="001A2899" w:rsidRPr="00F01D7D" w:rsidRDefault="001A2899" w:rsidP="00154DC3">
      <w:pPr>
        <w:pStyle w:val="ListParagraph"/>
        <w:numPr>
          <w:ilvl w:val="0"/>
          <w:numId w:val="7"/>
        </w:numPr>
        <w:spacing w:after="120" w:line="480" w:lineRule="auto"/>
        <w:jc w:val="both"/>
        <w:rPr>
          <w:b/>
        </w:rPr>
      </w:pPr>
      <w:r w:rsidRPr="00F01D7D">
        <w:rPr>
          <w:b/>
        </w:rPr>
        <w:t>Introduction</w:t>
      </w:r>
    </w:p>
    <w:p w14:paraId="389B68C9" w14:textId="7AD20949" w:rsidR="002F3CB7" w:rsidRDefault="00F933A3" w:rsidP="00154DC3">
      <w:pPr>
        <w:spacing w:after="120" w:line="480" w:lineRule="auto"/>
        <w:jc w:val="both"/>
      </w:pPr>
      <w:r>
        <w:t xml:space="preserve">Read-across is the process </w:t>
      </w:r>
      <w:r w:rsidR="006F4CA1">
        <w:t xml:space="preserve">of inferring the toxicity of </w:t>
      </w:r>
      <w:r w:rsidR="00351C8F">
        <w:t xml:space="preserve">a </w:t>
      </w:r>
      <w:r w:rsidR="006F4CA1">
        <w:t xml:space="preserve">compound </w:t>
      </w:r>
      <w:r w:rsidR="00351C8F">
        <w:t>with few</w:t>
      </w:r>
      <w:r w:rsidR="00900BBF">
        <w:t xml:space="preserve">, or no, data </w:t>
      </w:r>
      <w:r w:rsidR="006F4CA1">
        <w:t xml:space="preserve">from </w:t>
      </w:r>
      <w:r w:rsidR="00351C8F">
        <w:t>a similar</w:t>
      </w:r>
      <w:r w:rsidR="00900BBF">
        <w:t xml:space="preserve"> </w:t>
      </w:r>
      <w:r w:rsidR="00351C8F">
        <w:t>compound</w:t>
      </w:r>
      <w:r w:rsidR="00900BBF">
        <w:t xml:space="preserve"> with acceptable data</w:t>
      </w:r>
      <w:r w:rsidR="00C421D7">
        <w:t xml:space="preserve"> </w:t>
      </w:r>
      <w:r w:rsidR="001C215D">
        <w:t>[1]</w:t>
      </w:r>
      <w:r w:rsidR="00900BBF">
        <w:t xml:space="preserve">. </w:t>
      </w:r>
      <w:r w:rsidR="00A06862">
        <w:t>Whilst possibly simple to conceive at the outset</w:t>
      </w:r>
      <w:r w:rsidR="008B0A13">
        <w:t>, achieving an adequate read-across prediction</w:t>
      </w:r>
      <w:r w:rsidR="005025D6">
        <w:t xml:space="preserve"> </w:t>
      </w:r>
      <w:r w:rsidR="007C00A4">
        <w:t>can be a lengthy process</w:t>
      </w:r>
      <w:r w:rsidR="00ED5CA8">
        <w:t>. This is</w:t>
      </w:r>
      <w:r w:rsidR="007C00A4">
        <w:t xml:space="preserve"> especially </w:t>
      </w:r>
      <w:r w:rsidR="00ED5CA8">
        <w:t xml:space="preserve">true </w:t>
      </w:r>
      <w:r w:rsidR="007C00A4">
        <w:t>when attempting to justify read-across for a complex endpoint</w:t>
      </w:r>
      <w:r w:rsidR="00BA5E46">
        <w:t xml:space="preserve"> such that it may be an acceptable replacement for </w:t>
      </w:r>
      <w:r w:rsidR="007853A0">
        <w:t xml:space="preserve">an </w:t>
      </w:r>
      <w:r w:rsidR="007853A0">
        <w:rPr>
          <w:i/>
          <w:iCs/>
        </w:rPr>
        <w:t xml:space="preserve">in vivo </w:t>
      </w:r>
      <w:r w:rsidR="007853A0">
        <w:t xml:space="preserve">assay for regulatory purposes. </w:t>
      </w:r>
      <w:r w:rsidR="00A77555">
        <w:t>The key questions often relate to justif</w:t>
      </w:r>
      <w:r w:rsidR="00B612A0">
        <w:t>ying</w:t>
      </w:r>
      <w:r w:rsidR="00A77555">
        <w:t xml:space="preserve"> </w:t>
      </w:r>
      <w:r w:rsidR="00B612A0">
        <w:t xml:space="preserve">the assessment </w:t>
      </w:r>
      <w:r w:rsidR="00A77555">
        <w:t>of similarity between the molecules</w:t>
      </w:r>
      <w:r w:rsidR="001923B6">
        <w:t xml:space="preserve"> and </w:t>
      </w:r>
      <w:r w:rsidR="00B612A0">
        <w:t xml:space="preserve">demonstrating </w:t>
      </w:r>
      <w:r w:rsidR="001923B6">
        <w:t xml:space="preserve">there is no significant </w:t>
      </w:r>
      <w:r w:rsidR="00CC24E7">
        <w:t xml:space="preserve"> </w:t>
      </w:r>
      <w:r w:rsidR="001923B6">
        <w:t xml:space="preserve">difference in structure </w:t>
      </w:r>
      <w:r w:rsidR="00B612A0">
        <w:t>(or non</w:t>
      </w:r>
      <w:r w:rsidR="00D718CA">
        <w:t>e</w:t>
      </w:r>
      <w:r w:rsidR="00B612A0">
        <w:t xml:space="preserve"> that is predictable) </w:t>
      </w:r>
      <w:r w:rsidR="00BC0B41">
        <w:t xml:space="preserve">that may </w:t>
      </w:r>
      <w:r w:rsidR="00B612A0">
        <w:t xml:space="preserve">adversely </w:t>
      </w:r>
      <w:r w:rsidR="00BC0B41">
        <w:t xml:space="preserve">influence </w:t>
      </w:r>
      <w:r w:rsidR="00B612A0">
        <w:t xml:space="preserve">the prediction of </w:t>
      </w:r>
      <w:r w:rsidR="00BC0B41">
        <w:t>toxicity</w:t>
      </w:r>
      <w:r w:rsidR="00CC24E7">
        <w:t xml:space="preserve"> </w:t>
      </w:r>
      <w:r w:rsidR="001C215D">
        <w:t>[</w:t>
      </w:r>
      <w:r w:rsidR="00CC24E7">
        <w:t>2</w:t>
      </w:r>
      <w:r w:rsidR="001C215D">
        <w:t>]</w:t>
      </w:r>
      <w:r w:rsidR="00CC24E7">
        <w:t xml:space="preserve">. </w:t>
      </w:r>
      <w:r w:rsidR="00985871">
        <w:t>To date</w:t>
      </w:r>
      <w:r w:rsidR="008E628C">
        <w:t xml:space="preserve">, </w:t>
      </w:r>
      <w:r w:rsidR="005E583F">
        <w:t>much guidance</w:t>
      </w:r>
      <w:r w:rsidR="00BE5DAC" w:rsidRPr="00BE5DAC">
        <w:t xml:space="preserve"> </w:t>
      </w:r>
      <w:r w:rsidR="00985871">
        <w:t xml:space="preserve">has been published </w:t>
      </w:r>
      <w:r w:rsidR="004365AD">
        <w:t>to assist the development of a read-across prediction, such as</w:t>
      </w:r>
      <w:r w:rsidR="00BE5DAC">
        <w:t xml:space="preserve"> </w:t>
      </w:r>
      <w:r w:rsidR="004365AD">
        <w:t xml:space="preserve">the </w:t>
      </w:r>
      <w:r w:rsidR="005E583F">
        <w:t>Read-Across Assessment Framework</w:t>
      </w:r>
      <w:r w:rsidR="00F64775">
        <w:t xml:space="preserve"> </w:t>
      </w:r>
      <w:r w:rsidR="00B32BB5">
        <w:t xml:space="preserve">(RAAF) </w:t>
      </w:r>
      <w:r w:rsidR="004365AD">
        <w:t xml:space="preserve">from the European Chemicals Agency </w:t>
      </w:r>
      <w:r w:rsidR="001C215D">
        <w:t>[3]</w:t>
      </w:r>
      <w:r w:rsidR="004365AD">
        <w:t xml:space="preserve">, </w:t>
      </w:r>
      <w:r w:rsidR="00985871">
        <w:t xml:space="preserve">weight-of-evidence for assessing analogue suitability </w:t>
      </w:r>
      <w:r w:rsidR="001C215D">
        <w:t>[4]</w:t>
      </w:r>
      <w:r w:rsidR="00985871">
        <w:rPr>
          <w:rFonts w:ascii="Calibri" w:hAnsi="Calibri" w:cs="Calibri"/>
        </w:rPr>
        <w:t xml:space="preserve"> and </w:t>
      </w:r>
      <w:r w:rsidR="00F64775" w:rsidRPr="00C55808">
        <w:rPr>
          <w:color w:val="000000" w:themeColor="text1"/>
        </w:rPr>
        <w:t>approaches</w:t>
      </w:r>
      <w:r w:rsidR="00F64775">
        <w:t xml:space="preserve"> </w:t>
      </w:r>
      <w:r w:rsidR="00B612A0">
        <w:t>to address the issue of</w:t>
      </w:r>
      <w:r w:rsidR="00F64775">
        <w:t xml:space="preserve"> </w:t>
      </w:r>
      <w:r w:rsidR="00F64775" w:rsidRPr="00691019">
        <w:t xml:space="preserve">uncertainty </w:t>
      </w:r>
      <w:r w:rsidR="004365AD">
        <w:t xml:space="preserve">in predictions </w:t>
      </w:r>
      <w:r w:rsidR="001C215D">
        <w:t>[5]</w:t>
      </w:r>
      <w:r w:rsidR="00985871">
        <w:t>. However, a</w:t>
      </w:r>
      <w:r w:rsidR="002C25EC" w:rsidRPr="00691019">
        <w:t xml:space="preserve"> definitive approach to </w:t>
      </w:r>
      <w:r w:rsidR="00985871">
        <w:t xml:space="preserve">determining the adequacy of </w:t>
      </w:r>
      <w:r w:rsidR="002C25EC" w:rsidRPr="00691019">
        <w:t xml:space="preserve">an analogue </w:t>
      </w:r>
      <w:r w:rsidR="00985871">
        <w:t>and the chemical, toxicodynamic and toxicokinetic domain to which it would be applicable remains elusive</w:t>
      </w:r>
      <w:r w:rsidR="007E5EFF">
        <w:t xml:space="preserve"> </w:t>
      </w:r>
      <w:r w:rsidR="001C215D">
        <w:t>[6]</w:t>
      </w:r>
      <w:r w:rsidR="00375C6B">
        <w:t xml:space="preserve">. </w:t>
      </w:r>
    </w:p>
    <w:p w14:paraId="332F9C9F" w14:textId="44D052D4" w:rsidR="009D4A51" w:rsidRDefault="00985871" w:rsidP="00154DC3">
      <w:pPr>
        <w:spacing w:after="120" w:line="480" w:lineRule="auto"/>
        <w:jc w:val="both"/>
      </w:pPr>
      <w:r>
        <w:t xml:space="preserve">Hence, </w:t>
      </w:r>
      <w:r w:rsidR="00A36BBF">
        <w:t>a</w:t>
      </w:r>
      <w:r w:rsidR="00310852">
        <w:t xml:space="preserve">n approach that may assist </w:t>
      </w:r>
      <w:r w:rsidR="00C9104A">
        <w:t xml:space="preserve">in </w:t>
      </w:r>
      <w:r w:rsidR="00A36BBF">
        <w:t>rationalising</w:t>
      </w:r>
      <w:r w:rsidR="00310852">
        <w:t xml:space="preserve"> analogue </w:t>
      </w:r>
      <w:r w:rsidR="00A36BBF">
        <w:t xml:space="preserve">selection, </w:t>
      </w:r>
      <w:r w:rsidR="00310852">
        <w:t xml:space="preserve">the </w:t>
      </w:r>
      <w:r w:rsidR="00A36BBF">
        <w:t>determination of the</w:t>
      </w:r>
      <w:r w:rsidR="00310852">
        <w:t xml:space="preserve"> applicability domain</w:t>
      </w:r>
      <w:r w:rsidR="008F62AE">
        <w:t xml:space="preserve"> for an analogue </w:t>
      </w:r>
      <w:r w:rsidR="00D718CA">
        <w:t>(or</w:t>
      </w:r>
      <w:r w:rsidR="008F62AE">
        <w:t xml:space="preserve"> category</w:t>
      </w:r>
      <w:r w:rsidR="00DE3E3F">
        <w:t>)</w:t>
      </w:r>
      <w:r w:rsidR="00A36BBF">
        <w:t xml:space="preserve"> and, moreover, the definition of a strategy through which this may be achieved</w:t>
      </w:r>
      <w:r w:rsidR="0092145E">
        <w:t xml:space="preserve"> would be beneficial</w:t>
      </w:r>
      <w:r w:rsidR="008F62AE">
        <w:t>.</w:t>
      </w:r>
      <w:r w:rsidR="00A66C2A">
        <w:t xml:space="preserve"> The concept of applicability domain is well developed and recognised for quantitative structure-activity relationships (QSARs)</w:t>
      </w:r>
      <w:r w:rsidR="004258FA">
        <w:t xml:space="preserve"> </w:t>
      </w:r>
      <w:r w:rsidR="001C215D">
        <w:t>[7]</w:t>
      </w:r>
      <w:r w:rsidR="00DF0119">
        <w:t xml:space="preserve"> and is one of the core </w:t>
      </w:r>
      <w:r w:rsidR="00310F96">
        <w:t>Organisation for Economic Cooperation and Development (</w:t>
      </w:r>
      <w:r w:rsidR="00DF0119">
        <w:t>OECD</w:t>
      </w:r>
      <w:r w:rsidR="00310F96">
        <w:t>)</w:t>
      </w:r>
      <w:r w:rsidR="00DF0119">
        <w:t xml:space="preserve"> Principles for the Validation of (Q)SARs</w:t>
      </w:r>
      <w:r w:rsidR="00282D46">
        <w:t xml:space="preserve"> </w:t>
      </w:r>
      <w:r w:rsidR="001C215D">
        <w:t>[8]</w:t>
      </w:r>
      <w:r w:rsidR="004258FA">
        <w:t>.</w:t>
      </w:r>
      <w:r w:rsidR="00775717">
        <w:t xml:space="preserve"> There are many means of defining the applicability domain of a QSAR, but </w:t>
      </w:r>
      <w:r w:rsidR="00435B42">
        <w:t>one of the most comprehensive was that proposed by Dimit</w:t>
      </w:r>
      <w:r w:rsidR="009D4A51">
        <w:t>rov et al</w:t>
      </w:r>
      <w:r w:rsidR="00051B51">
        <w:t>.</w:t>
      </w:r>
      <w:r w:rsidR="009D4A51">
        <w:t xml:space="preserve"> </w:t>
      </w:r>
      <w:r w:rsidR="001C215D">
        <w:t>[9]</w:t>
      </w:r>
      <w:r w:rsidR="009D4A51">
        <w:t>, who defined it as a four</w:t>
      </w:r>
      <w:r w:rsidR="00051B51">
        <w:t>-</w:t>
      </w:r>
      <w:r w:rsidR="009D4A51">
        <w:t>stage process:</w:t>
      </w:r>
    </w:p>
    <w:p w14:paraId="5C19EAA6" w14:textId="4C855C38" w:rsidR="00895FA1" w:rsidRDefault="00895FA1" w:rsidP="00154DC3">
      <w:pPr>
        <w:pStyle w:val="ListParagraph"/>
        <w:numPr>
          <w:ilvl w:val="0"/>
          <w:numId w:val="4"/>
        </w:numPr>
        <w:spacing w:after="120" w:line="480" w:lineRule="auto"/>
        <w:jc w:val="both"/>
      </w:pPr>
      <w:r w:rsidRPr="00895FA1">
        <w:t>Stage 1. General Parame</w:t>
      </w:r>
      <w:r>
        <w:t>tric Requirements. i.e. properties</w:t>
      </w:r>
    </w:p>
    <w:p w14:paraId="694BC164" w14:textId="77777777" w:rsidR="00895FA1" w:rsidRDefault="00895FA1" w:rsidP="00154DC3">
      <w:pPr>
        <w:pStyle w:val="ListParagraph"/>
        <w:numPr>
          <w:ilvl w:val="0"/>
          <w:numId w:val="4"/>
        </w:numPr>
        <w:spacing w:after="120" w:line="480" w:lineRule="auto"/>
        <w:jc w:val="both"/>
      </w:pPr>
      <w:r>
        <w:t>Stage 2. Structural Domain. i.e. fragments / similarity</w:t>
      </w:r>
    </w:p>
    <w:p w14:paraId="1A46F711" w14:textId="49EE4A12" w:rsidR="00895FA1" w:rsidRDefault="00895FA1" w:rsidP="00154DC3">
      <w:pPr>
        <w:pStyle w:val="ListParagraph"/>
        <w:numPr>
          <w:ilvl w:val="0"/>
          <w:numId w:val="4"/>
        </w:numPr>
        <w:spacing w:after="120" w:line="480" w:lineRule="auto"/>
        <w:jc w:val="both"/>
      </w:pPr>
      <w:r>
        <w:t>Stage 3. Mechanistic Domain</w:t>
      </w:r>
    </w:p>
    <w:p w14:paraId="2F810392" w14:textId="0BADF41A" w:rsidR="00895FA1" w:rsidRDefault="00895FA1" w:rsidP="00154DC3">
      <w:pPr>
        <w:pStyle w:val="ListParagraph"/>
        <w:numPr>
          <w:ilvl w:val="0"/>
          <w:numId w:val="4"/>
        </w:numPr>
        <w:spacing w:after="120" w:line="480" w:lineRule="auto"/>
        <w:jc w:val="both"/>
      </w:pPr>
      <w:r>
        <w:t xml:space="preserve">Stage 4. Metabolic Domain. i.e. similarity in (simulated) metabolites </w:t>
      </w:r>
    </w:p>
    <w:p w14:paraId="6C9CAE23" w14:textId="29E71341" w:rsidR="00EB5938" w:rsidRDefault="00FA5397" w:rsidP="00154DC3">
      <w:pPr>
        <w:spacing w:after="120" w:line="480" w:lineRule="auto"/>
        <w:jc w:val="both"/>
      </w:pPr>
      <w:r>
        <w:t xml:space="preserve">Whilst not directly </w:t>
      </w:r>
      <w:r w:rsidR="00226182">
        <w:t>applicable</w:t>
      </w:r>
      <w:r>
        <w:t xml:space="preserve"> to the situation for read-across, </w:t>
      </w:r>
      <w:r w:rsidR="00226182">
        <w:t xml:space="preserve">the elements of the applicability domain concept for QSARs can be translated into the chemical, </w:t>
      </w:r>
      <w:r w:rsidR="00E905E8">
        <w:t>toxicodynamic and toxicokinetic properties</w:t>
      </w:r>
      <w:r w:rsidR="00A25F51">
        <w:t xml:space="preserve"> required to identify analogues for read-across</w:t>
      </w:r>
      <w:bookmarkStart w:id="2" w:name="_Hlk92030030"/>
      <w:r w:rsidR="00A0679F">
        <w:t xml:space="preserve"> </w:t>
      </w:r>
      <w:bookmarkEnd w:id="2"/>
      <w:r w:rsidR="001C215D">
        <w:t>[4, 10]</w:t>
      </w:r>
      <w:r w:rsidR="00A25F51">
        <w:t xml:space="preserve">. </w:t>
      </w:r>
      <w:r w:rsidR="009A6F35">
        <w:t>Development of this concept can be further</w:t>
      </w:r>
      <w:r w:rsidR="0024636C">
        <w:t xml:space="preserve"> informed by the requirements of ECHA’s RAAF and the assessment of uncertainties. </w:t>
      </w:r>
      <w:r w:rsidR="00EB5938">
        <w:t xml:space="preserve">Many researchers are routinely collecting information </w:t>
      </w:r>
      <w:r w:rsidR="00B055F1">
        <w:t xml:space="preserve">to support read-across e.g. structural and </w:t>
      </w:r>
      <w:r w:rsidR="005006B8">
        <w:t>property data</w:t>
      </w:r>
      <w:r w:rsidR="00B94FF9">
        <w:t>.</w:t>
      </w:r>
      <w:r w:rsidR="005006B8">
        <w:t xml:space="preserve"> </w:t>
      </w:r>
      <w:r w:rsidR="00B94FF9">
        <w:t>T</w:t>
      </w:r>
      <w:r w:rsidR="005006B8">
        <w:t>emplates are available for doing this</w:t>
      </w:r>
      <w:r w:rsidR="001537F8">
        <w:t xml:space="preserve"> </w:t>
      </w:r>
      <w:r w:rsidR="001C215D">
        <w:t>[11, 12]</w:t>
      </w:r>
      <w:r w:rsidR="00B94FF9">
        <w:t>,</w:t>
      </w:r>
      <w:r w:rsidR="006D38E6">
        <w:t xml:space="preserve"> as well as </w:t>
      </w:r>
      <w:r w:rsidR="00B94FF9">
        <w:t xml:space="preserve">for </w:t>
      </w:r>
      <w:r w:rsidR="006D38E6">
        <w:t>organising data for QSARs</w:t>
      </w:r>
      <w:r w:rsidR="00B94FF9">
        <w:t xml:space="preserve"> - </w:t>
      </w:r>
      <w:r w:rsidR="001E1FA5">
        <w:t xml:space="preserve">the so-called QSAR Model Reporting Format </w:t>
      </w:r>
      <w:r w:rsidR="001C215D">
        <w:t>[13]</w:t>
      </w:r>
      <w:r w:rsidR="001E1FA5">
        <w:t>. However,</w:t>
      </w:r>
      <w:r w:rsidR="005006B8">
        <w:t xml:space="preserve"> </w:t>
      </w:r>
      <w:r w:rsidR="009A6F35">
        <w:t>a</w:t>
      </w:r>
      <w:r w:rsidR="005006B8">
        <w:t xml:space="preserve"> systema</w:t>
      </w:r>
      <w:r w:rsidR="00AF3521">
        <w:t xml:space="preserve">tic </w:t>
      </w:r>
      <w:r w:rsidR="001537F8">
        <w:t xml:space="preserve">approach to </w:t>
      </w:r>
      <w:r w:rsidR="0018796C">
        <w:t xml:space="preserve">organise the </w:t>
      </w:r>
      <w:r w:rsidR="001537F8">
        <w:t>collecti</w:t>
      </w:r>
      <w:r w:rsidR="0018796C">
        <w:t>o</w:t>
      </w:r>
      <w:r w:rsidR="001537F8">
        <w:t>n</w:t>
      </w:r>
      <w:r w:rsidR="0018796C">
        <w:t xml:space="preserve"> and analysis</w:t>
      </w:r>
      <w:r w:rsidR="00141F92">
        <w:t xml:space="preserve"> of</w:t>
      </w:r>
      <w:r w:rsidR="001537F8">
        <w:t xml:space="preserve"> data, that </w:t>
      </w:r>
      <w:r w:rsidR="00B94FF9">
        <w:t xml:space="preserve">is </w:t>
      </w:r>
      <w:r w:rsidR="001537F8">
        <w:t>s</w:t>
      </w:r>
      <w:r w:rsidR="00C359C8">
        <w:t>ufficiently</w:t>
      </w:r>
      <w:r w:rsidR="001537F8">
        <w:t xml:space="preserve"> </w:t>
      </w:r>
      <w:r w:rsidR="00C359C8">
        <w:t xml:space="preserve">flexible and adaptable </w:t>
      </w:r>
      <w:r w:rsidR="0018796C">
        <w:t xml:space="preserve">for all endpoints and </w:t>
      </w:r>
      <w:r w:rsidR="005D7238">
        <w:t xml:space="preserve">enables </w:t>
      </w:r>
      <w:r w:rsidR="006E6618">
        <w:t>definition</w:t>
      </w:r>
      <w:r w:rsidR="005D7238">
        <w:t xml:space="preserve"> of the </w:t>
      </w:r>
      <w:r w:rsidR="0018796C">
        <w:t>domain</w:t>
      </w:r>
      <w:r w:rsidR="005D7238">
        <w:t xml:space="preserve"> is still lacking.</w:t>
      </w:r>
    </w:p>
    <w:p w14:paraId="0DB7464F" w14:textId="04EC2C44" w:rsidR="006465E1" w:rsidRDefault="007E2E5D" w:rsidP="00154DC3">
      <w:pPr>
        <w:spacing w:after="120" w:line="480" w:lineRule="auto"/>
        <w:jc w:val="both"/>
      </w:pPr>
      <w:r>
        <w:t>In order to address these needs</w:t>
      </w:r>
      <w:r w:rsidR="00432D49">
        <w:t>, t</w:t>
      </w:r>
      <w:r w:rsidR="008E49C6">
        <w:t xml:space="preserve">he aim of this study was to </w:t>
      </w:r>
      <w:r w:rsidR="005D7238">
        <w:t>determine</w:t>
      </w:r>
      <w:r w:rsidR="008E49C6">
        <w:t xml:space="preserve"> </w:t>
      </w:r>
      <w:r w:rsidR="00C95563">
        <w:t xml:space="preserve">what would be required </w:t>
      </w:r>
      <w:r w:rsidR="004676FC">
        <w:t xml:space="preserve">to </w:t>
      </w:r>
      <w:r w:rsidR="005D7238">
        <w:t>enable</w:t>
      </w:r>
      <w:r w:rsidR="004676FC">
        <w:t xml:space="preserve"> the </w:t>
      </w:r>
      <w:r w:rsidR="00C95563">
        <w:t xml:space="preserve">applicability domain </w:t>
      </w:r>
      <w:r w:rsidR="005D7238">
        <w:t xml:space="preserve">for a </w:t>
      </w:r>
      <w:r w:rsidR="00C95563">
        <w:t xml:space="preserve">read-across </w:t>
      </w:r>
      <w:r w:rsidR="005D7238">
        <w:t xml:space="preserve">prediction </w:t>
      </w:r>
      <w:r w:rsidR="00C95563">
        <w:t xml:space="preserve">of toxicity </w:t>
      </w:r>
      <w:r w:rsidR="005D7238">
        <w:t>to be defined</w:t>
      </w:r>
      <w:r w:rsidR="00C95563">
        <w:t xml:space="preserve">. Specifically, </w:t>
      </w:r>
      <w:r w:rsidR="007A2F28">
        <w:t>the types of information that could be used, differen</w:t>
      </w:r>
      <w:r w:rsidR="005D7238">
        <w:t xml:space="preserve">tial requirements for </w:t>
      </w:r>
      <w:r w:rsidR="007A2F28">
        <w:t>analogue and categor</w:t>
      </w:r>
      <w:r w:rsidR="005D7238">
        <w:t>y approaches</w:t>
      </w:r>
      <w:r w:rsidR="007A2F28">
        <w:t xml:space="preserve"> and whether informatics / statistical approaches could be applied. </w:t>
      </w:r>
      <w:r w:rsidR="00DD12F4" w:rsidRPr="00B94FF9">
        <w:rPr>
          <w:color w:val="000000" w:themeColor="text1"/>
        </w:rPr>
        <w:t xml:space="preserve">The study utilised previously collected data </w:t>
      </w:r>
      <w:r w:rsidR="00F55413" w:rsidRPr="00B94FF9">
        <w:rPr>
          <w:color w:val="000000" w:themeColor="text1"/>
        </w:rPr>
        <w:t xml:space="preserve">for triazoles </w:t>
      </w:r>
      <w:r w:rsidR="001C215D">
        <w:rPr>
          <w:color w:val="000000" w:themeColor="text1"/>
        </w:rPr>
        <w:t>[14]</w:t>
      </w:r>
      <w:r w:rsidR="00463416" w:rsidRPr="00B94FF9">
        <w:rPr>
          <w:color w:val="000000" w:themeColor="text1"/>
        </w:rPr>
        <w:t xml:space="preserve"> </w:t>
      </w:r>
      <w:r w:rsidR="00F55413" w:rsidRPr="00B94FF9">
        <w:rPr>
          <w:color w:val="000000" w:themeColor="text1"/>
        </w:rPr>
        <w:t xml:space="preserve">to demonstrate </w:t>
      </w:r>
      <w:r w:rsidR="009B3C5B">
        <w:rPr>
          <w:color w:val="000000" w:themeColor="text1"/>
        </w:rPr>
        <w:t xml:space="preserve">the definition of domain for </w:t>
      </w:r>
      <w:r w:rsidR="00F55413" w:rsidRPr="00B94FF9">
        <w:rPr>
          <w:color w:val="000000" w:themeColor="text1"/>
        </w:rPr>
        <w:t>the analogue</w:t>
      </w:r>
      <w:r w:rsidR="004172E3" w:rsidRPr="00B94FF9">
        <w:rPr>
          <w:color w:val="000000" w:themeColor="text1"/>
        </w:rPr>
        <w:t xml:space="preserve"> approach</w:t>
      </w:r>
      <w:r w:rsidR="00B94FF9">
        <w:rPr>
          <w:color w:val="000000" w:themeColor="text1"/>
        </w:rPr>
        <w:t xml:space="preserve">, whilst </w:t>
      </w:r>
      <w:r w:rsidR="00D0166C">
        <w:rPr>
          <w:color w:val="000000" w:themeColor="text1"/>
        </w:rPr>
        <w:t>concurrently</w:t>
      </w:r>
      <w:r w:rsidR="002D33D5" w:rsidRPr="00B94FF9">
        <w:rPr>
          <w:color w:val="000000" w:themeColor="text1"/>
        </w:rPr>
        <w:t xml:space="preserve"> extend</w:t>
      </w:r>
      <w:r w:rsidR="00D0166C">
        <w:rPr>
          <w:color w:val="000000" w:themeColor="text1"/>
        </w:rPr>
        <w:t>ing</w:t>
      </w:r>
      <w:r w:rsidR="002D33D5" w:rsidRPr="00B94FF9">
        <w:rPr>
          <w:color w:val="000000" w:themeColor="text1"/>
        </w:rPr>
        <w:t xml:space="preserve"> </w:t>
      </w:r>
      <w:r w:rsidR="00DE3E3F">
        <w:rPr>
          <w:color w:val="000000" w:themeColor="text1"/>
        </w:rPr>
        <w:t xml:space="preserve">the analysis </w:t>
      </w:r>
      <w:r w:rsidR="002D33D5" w:rsidRPr="00B94FF9">
        <w:rPr>
          <w:color w:val="000000" w:themeColor="text1"/>
        </w:rPr>
        <w:t xml:space="preserve">to </w:t>
      </w:r>
      <w:proofErr w:type="spellStart"/>
      <w:r w:rsidR="002D33D5" w:rsidRPr="00B94FF9">
        <w:rPr>
          <w:color w:val="000000" w:themeColor="text1"/>
        </w:rPr>
        <w:t>imidazoles</w:t>
      </w:r>
      <w:proofErr w:type="spellEnd"/>
      <w:r w:rsidR="002D33D5" w:rsidRPr="00B94FF9">
        <w:rPr>
          <w:color w:val="000000" w:themeColor="text1"/>
        </w:rPr>
        <w:t xml:space="preserve"> for the category approach</w:t>
      </w:r>
      <w:r w:rsidR="00AA7851">
        <w:rPr>
          <w:color w:val="000000" w:themeColor="text1"/>
        </w:rPr>
        <w:t>. In addition,</w:t>
      </w:r>
      <w:r w:rsidR="00054091">
        <w:rPr>
          <w:color w:val="000000" w:themeColor="text1"/>
        </w:rPr>
        <w:t xml:space="preserve"> existing literature studies for read-across scenarios involving the production of a common metabolite, for biological read-across and </w:t>
      </w:r>
      <w:r w:rsidR="00054091" w:rsidRPr="00972F2E">
        <w:t>unknown or variable composition, complex reaction products</w:t>
      </w:r>
      <w:r w:rsidR="00054091">
        <w:t xml:space="preserve"> (UVCBs)</w:t>
      </w:r>
      <w:r w:rsidR="00AA7851">
        <w:t xml:space="preserve"> were considered</w:t>
      </w:r>
      <w:r w:rsidR="00054091">
        <w:rPr>
          <w:color w:val="000000" w:themeColor="text1"/>
        </w:rPr>
        <w:t>.</w:t>
      </w:r>
      <w:r w:rsidR="002D33D5" w:rsidRPr="00B94FF9">
        <w:rPr>
          <w:color w:val="000000" w:themeColor="text1"/>
        </w:rPr>
        <w:t xml:space="preserve"> </w:t>
      </w:r>
      <w:r w:rsidR="00AA7851">
        <w:rPr>
          <w:color w:val="000000" w:themeColor="text1"/>
        </w:rPr>
        <w:t>This</w:t>
      </w:r>
      <w:r w:rsidR="00A0679F">
        <w:rPr>
          <w:color w:val="000000" w:themeColor="text1"/>
        </w:rPr>
        <w:t xml:space="preserve"> builds </w:t>
      </w:r>
      <w:r w:rsidR="00AA7851">
        <w:rPr>
          <w:color w:val="000000" w:themeColor="text1"/>
        </w:rPr>
        <w:t xml:space="preserve">on both </w:t>
      </w:r>
      <w:r w:rsidR="00A0679F">
        <w:rPr>
          <w:color w:val="000000" w:themeColor="text1"/>
        </w:rPr>
        <w:t>well-established</w:t>
      </w:r>
      <w:r w:rsidR="00AA7851">
        <w:rPr>
          <w:color w:val="000000" w:themeColor="text1"/>
        </w:rPr>
        <w:t xml:space="preserve"> means, and more recent proposals,</w:t>
      </w:r>
      <w:r w:rsidR="00A0679F">
        <w:rPr>
          <w:color w:val="000000" w:themeColor="text1"/>
        </w:rPr>
        <w:t xml:space="preserve"> to compile information to define uncertainties </w:t>
      </w:r>
      <w:r w:rsidR="001C215D">
        <w:t>[10, 12]</w:t>
      </w:r>
      <w:r w:rsidR="00A0679F">
        <w:rPr>
          <w:color w:val="000000" w:themeColor="text1"/>
        </w:rPr>
        <w:t xml:space="preserve"> and justify </w:t>
      </w:r>
      <w:r w:rsidR="00AA7851">
        <w:rPr>
          <w:color w:val="000000" w:themeColor="text1"/>
        </w:rPr>
        <w:t>analogue selection for</w:t>
      </w:r>
      <w:r w:rsidR="00A0679F">
        <w:rPr>
          <w:color w:val="000000" w:themeColor="text1"/>
        </w:rPr>
        <w:t xml:space="preserve"> read-across </w:t>
      </w:r>
      <w:r w:rsidR="001C215D">
        <w:t>[4]</w:t>
      </w:r>
      <w:r w:rsidR="00A0679F">
        <w:t>.</w:t>
      </w:r>
    </w:p>
    <w:p w14:paraId="67BF88FB" w14:textId="77777777" w:rsidR="006465E1" w:rsidRDefault="006465E1" w:rsidP="00154DC3">
      <w:pPr>
        <w:spacing w:after="120" w:line="480" w:lineRule="auto"/>
        <w:jc w:val="both"/>
      </w:pPr>
    </w:p>
    <w:p w14:paraId="586882C9" w14:textId="621BBA65" w:rsidR="003B7D1D" w:rsidRPr="003529F8" w:rsidRDefault="003B7D1D" w:rsidP="00154DC3">
      <w:pPr>
        <w:pStyle w:val="ListParagraph"/>
        <w:numPr>
          <w:ilvl w:val="0"/>
          <w:numId w:val="7"/>
        </w:numPr>
        <w:spacing w:after="120" w:line="480" w:lineRule="auto"/>
        <w:jc w:val="both"/>
        <w:rPr>
          <w:b/>
          <w:bCs/>
        </w:rPr>
      </w:pPr>
      <w:r w:rsidRPr="003529F8">
        <w:rPr>
          <w:b/>
          <w:bCs/>
        </w:rPr>
        <w:t xml:space="preserve">Methods: The Approach to Define Applicability Domains for Read-Across </w:t>
      </w:r>
    </w:p>
    <w:p w14:paraId="14DBD4D3" w14:textId="5CCAA190" w:rsidR="00F24DC6" w:rsidRPr="003B7D1D" w:rsidRDefault="003B7D1D" w:rsidP="00154DC3">
      <w:pPr>
        <w:spacing w:after="120" w:line="480" w:lineRule="auto"/>
        <w:jc w:val="both"/>
        <w:rPr>
          <w:i/>
          <w:iCs/>
        </w:rPr>
      </w:pPr>
      <w:r w:rsidRPr="003B7D1D">
        <w:rPr>
          <w:i/>
          <w:iCs/>
        </w:rPr>
        <w:t xml:space="preserve">2.1 </w:t>
      </w:r>
      <w:r w:rsidR="00F24DC6" w:rsidRPr="003B7D1D">
        <w:rPr>
          <w:i/>
          <w:iCs/>
        </w:rPr>
        <w:t xml:space="preserve">Criteria to define the applicability domain </w:t>
      </w:r>
    </w:p>
    <w:p w14:paraId="766E77C8" w14:textId="43742B26" w:rsidR="00315751" w:rsidRDefault="0004673C" w:rsidP="00154DC3">
      <w:pPr>
        <w:spacing w:after="120" w:line="480" w:lineRule="auto"/>
        <w:jc w:val="both"/>
      </w:pPr>
      <w:r>
        <w:t>Based on</w:t>
      </w:r>
      <w:r w:rsidR="00C9793C">
        <w:t xml:space="preserve"> ECHA’s RAAF </w:t>
      </w:r>
      <w:r w:rsidR="000E1B1B">
        <w:t>[3]</w:t>
      </w:r>
      <w:r w:rsidR="00782C14">
        <w:t xml:space="preserve"> </w:t>
      </w:r>
      <w:r w:rsidR="00C9793C">
        <w:t xml:space="preserve">and the assessment of uncertainties of read-across relating to </w:t>
      </w:r>
      <w:r w:rsidR="00931684">
        <w:t>similarity</w:t>
      </w:r>
      <w:r w:rsidR="00782C14">
        <w:t xml:space="preserve"> </w:t>
      </w:r>
      <w:r w:rsidR="000E1B1B">
        <w:t>[12]</w:t>
      </w:r>
      <w:r w:rsidR="00931684">
        <w:t>, t</w:t>
      </w:r>
      <w:r w:rsidR="00C9793C">
        <w:t>hree criteria were identified</w:t>
      </w:r>
      <w:r w:rsidR="00931684">
        <w:t xml:space="preserve"> as being crucial to define the applicability domain of an analogue or category. </w:t>
      </w:r>
      <w:r w:rsidR="00D440ED">
        <w:t xml:space="preserve">These correlate with the four </w:t>
      </w:r>
      <w:r w:rsidR="00D440ED" w:rsidRPr="00D440ED">
        <w:t xml:space="preserve">types of evidence </w:t>
      </w:r>
      <w:r w:rsidR="00D440ED">
        <w:t xml:space="preserve">required </w:t>
      </w:r>
      <w:r w:rsidR="00D440ED" w:rsidRPr="00D440ED">
        <w:t>to support read-across</w:t>
      </w:r>
      <w:r w:rsidR="00D440ED">
        <w:t xml:space="preserve"> that were previously defined by </w:t>
      </w:r>
      <w:r w:rsidR="00D440ED" w:rsidRPr="00D440ED">
        <w:t>Suter and Lizarraga</w:t>
      </w:r>
      <w:r w:rsidR="00D440ED">
        <w:t xml:space="preserve"> </w:t>
      </w:r>
      <w:r w:rsidR="000E1B1B">
        <w:t>[4]</w:t>
      </w:r>
      <w:r w:rsidR="00D440ED">
        <w:t xml:space="preserve">: </w:t>
      </w:r>
      <w:r w:rsidR="00D440ED" w:rsidRPr="00D440ED">
        <w:t>structural features</w:t>
      </w:r>
      <w:r w:rsidR="00D440ED">
        <w:t xml:space="preserve"> and</w:t>
      </w:r>
      <w:r w:rsidR="00D440ED" w:rsidRPr="00D440ED">
        <w:t xml:space="preserve"> </w:t>
      </w:r>
      <w:proofErr w:type="spellStart"/>
      <w:r w:rsidR="00D440ED" w:rsidRPr="00D440ED">
        <w:t>physico</w:t>
      </w:r>
      <w:proofErr w:type="spellEnd"/>
      <w:r w:rsidR="00D440ED" w:rsidRPr="00D440ED">
        <w:t>-chemical attributes</w:t>
      </w:r>
      <w:r w:rsidR="00D440ED">
        <w:t xml:space="preserve"> (herein jointly considered as “chemistry”)</w:t>
      </w:r>
      <w:r w:rsidR="00D440ED" w:rsidRPr="00D440ED">
        <w:t xml:space="preserve">, </w:t>
      </w:r>
      <w:proofErr w:type="spellStart"/>
      <w:r w:rsidR="00D440ED" w:rsidRPr="00D440ED">
        <w:t>toxicodynamics</w:t>
      </w:r>
      <w:proofErr w:type="spellEnd"/>
      <w:r w:rsidR="00D440ED" w:rsidRPr="00D440ED">
        <w:t xml:space="preserve"> and </w:t>
      </w:r>
      <w:proofErr w:type="spellStart"/>
      <w:r w:rsidR="00D440ED" w:rsidRPr="00D440ED">
        <w:t>toxickinetics</w:t>
      </w:r>
      <w:proofErr w:type="spellEnd"/>
      <w:r w:rsidR="00D440ED" w:rsidRPr="00D440ED">
        <w:t xml:space="preserve">. </w:t>
      </w:r>
      <w:r w:rsidR="00931684">
        <w:t>The</w:t>
      </w:r>
      <w:r w:rsidR="00D440ED">
        <w:t xml:space="preserve"> three </w:t>
      </w:r>
      <w:r w:rsidR="00931684">
        <w:t xml:space="preserve">criteria are </w:t>
      </w:r>
      <w:r w:rsidR="003D35E9">
        <w:t xml:space="preserve">noted below and defined in more detail in Table 1. </w:t>
      </w:r>
    </w:p>
    <w:p w14:paraId="575D9B10" w14:textId="2DE42DDA" w:rsidR="003D35E9" w:rsidRDefault="00FE61DC" w:rsidP="00154DC3">
      <w:pPr>
        <w:pStyle w:val="ListParagraph"/>
        <w:numPr>
          <w:ilvl w:val="0"/>
          <w:numId w:val="5"/>
        </w:numPr>
        <w:spacing w:after="120" w:line="480" w:lineRule="auto"/>
        <w:jc w:val="both"/>
      </w:pPr>
      <w:r>
        <w:t xml:space="preserve">Chemistry. </w:t>
      </w:r>
      <w:r w:rsidR="002F084E">
        <w:t>In general, a</w:t>
      </w:r>
      <w:r w:rsidR="00D440ED">
        <w:t xml:space="preserve"> prime consideration in read-across is the chemical structure and properties of the target and source chemicals </w:t>
      </w:r>
      <w:r>
        <w:t xml:space="preserve">and </w:t>
      </w:r>
      <w:r w:rsidR="00D440ED">
        <w:t xml:space="preserve">how their </w:t>
      </w:r>
      <w:r>
        <w:t xml:space="preserve">similarity </w:t>
      </w:r>
      <w:r w:rsidR="00D440ED">
        <w:t>may be defined</w:t>
      </w:r>
      <w:r w:rsidR="00C9104A">
        <w:t>. This may be</w:t>
      </w:r>
      <w:r>
        <w:t xml:space="preserve"> </w:t>
      </w:r>
      <w:r w:rsidR="00D440ED">
        <w:t>i</w:t>
      </w:r>
      <w:r>
        <w:t xml:space="preserve">n terms of fragments or chemical class, </w:t>
      </w:r>
      <w:proofErr w:type="spellStart"/>
      <w:r w:rsidR="004676FC">
        <w:t>physico</w:t>
      </w:r>
      <w:proofErr w:type="spellEnd"/>
      <w:r w:rsidR="004676FC">
        <w:t xml:space="preserve">-chemical </w:t>
      </w:r>
      <w:r>
        <w:t xml:space="preserve">properties and a </w:t>
      </w:r>
      <w:r w:rsidR="002F084E">
        <w:t xml:space="preserve">relevant </w:t>
      </w:r>
      <w:r>
        <w:t>metric for</w:t>
      </w:r>
      <w:r w:rsidR="002F084E">
        <w:t xml:space="preserve"> structural</w:t>
      </w:r>
      <w:r>
        <w:t xml:space="preserve"> similarity. </w:t>
      </w:r>
    </w:p>
    <w:p w14:paraId="3A92A376" w14:textId="11BAC24E" w:rsidR="002C2451" w:rsidRDefault="00FA0B35" w:rsidP="00154DC3">
      <w:pPr>
        <w:pStyle w:val="ListParagraph"/>
        <w:numPr>
          <w:ilvl w:val="0"/>
          <w:numId w:val="5"/>
        </w:numPr>
        <w:spacing w:after="120" w:line="480" w:lineRule="auto"/>
        <w:jc w:val="both"/>
      </w:pPr>
      <w:bookmarkStart w:id="3" w:name="_Hlk92636465"/>
      <w:proofErr w:type="spellStart"/>
      <w:r>
        <w:t>Toxicodynamics</w:t>
      </w:r>
      <w:proofErr w:type="spellEnd"/>
      <w:r>
        <w:t xml:space="preserve">. </w:t>
      </w:r>
      <w:r w:rsidR="002F084E">
        <w:t>A</w:t>
      </w:r>
      <w:r w:rsidR="00A61896">
        <w:t>nalogues</w:t>
      </w:r>
      <w:r w:rsidR="002F084E">
        <w:t xml:space="preserve"> should</w:t>
      </w:r>
      <w:r w:rsidR="00AA1CF8">
        <w:t>, ideally,</w:t>
      </w:r>
      <w:r w:rsidR="002F084E">
        <w:t xml:space="preserve"> </w:t>
      </w:r>
      <w:r w:rsidR="0027320D">
        <w:t xml:space="preserve">have a </w:t>
      </w:r>
      <w:r w:rsidR="00AA1CF8">
        <w:t xml:space="preserve">demonstrable </w:t>
      </w:r>
      <w:r>
        <w:t>common mechanism of action</w:t>
      </w:r>
      <w:r w:rsidR="002F084E">
        <w:t xml:space="preserve"> in eliciting toxicity</w:t>
      </w:r>
      <w:r w:rsidR="00AA1CF8">
        <w:t xml:space="preserve"> or absence of a </w:t>
      </w:r>
      <w:r w:rsidR="00AC1711">
        <w:t>specific mechanism</w:t>
      </w:r>
      <w:r>
        <w:t>.</w:t>
      </w:r>
      <w:r w:rsidR="002F084E">
        <w:t xml:space="preserve"> P</w:t>
      </w:r>
      <w:r w:rsidR="00566AB5">
        <w:t xml:space="preserve">ossession of </w:t>
      </w:r>
      <w:r w:rsidR="00C41FB5">
        <w:t>similar structural fragments</w:t>
      </w:r>
      <w:r w:rsidR="002F084E">
        <w:t>, known to be associated with a given toxicity</w:t>
      </w:r>
      <w:r w:rsidR="00C41FB5">
        <w:t xml:space="preserve">, </w:t>
      </w:r>
      <w:r w:rsidR="002F084E">
        <w:t>may provide evidence</w:t>
      </w:r>
      <w:r w:rsidR="00DE3E3F">
        <w:t xml:space="preserve"> whilst t</w:t>
      </w:r>
      <w:r w:rsidR="006413AA">
        <w:t>he absence of such toxic fragments may also be informative.</w:t>
      </w:r>
      <w:r w:rsidR="00C41FB5">
        <w:t xml:space="preserve"> </w:t>
      </w:r>
      <w:bookmarkEnd w:id="3"/>
      <w:r w:rsidR="001667C4">
        <w:rPr>
          <w:i/>
          <w:iCs/>
        </w:rPr>
        <w:t>In silico</w:t>
      </w:r>
      <w:r w:rsidR="001667C4">
        <w:t xml:space="preserve">, </w:t>
      </w:r>
      <w:r w:rsidR="001667C4">
        <w:rPr>
          <w:i/>
          <w:iCs/>
        </w:rPr>
        <w:t xml:space="preserve">in </w:t>
      </w:r>
      <w:proofErr w:type="spellStart"/>
      <w:r w:rsidR="001667C4">
        <w:rPr>
          <w:i/>
          <w:iCs/>
        </w:rPr>
        <w:t>chemico</w:t>
      </w:r>
      <w:proofErr w:type="spellEnd"/>
      <w:r w:rsidR="001667C4">
        <w:t xml:space="preserve"> and / or </w:t>
      </w:r>
      <w:r w:rsidR="001667C4">
        <w:rPr>
          <w:i/>
          <w:iCs/>
        </w:rPr>
        <w:t xml:space="preserve">in vitro </w:t>
      </w:r>
      <w:r w:rsidR="001667C4">
        <w:t>New Approach Methodology (NAM) data may play a role in defining</w:t>
      </w:r>
      <w:r w:rsidR="000E19F1">
        <w:t xml:space="preserve"> </w:t>
      </w:r>
      <w:proofErr w:type="spellStart"/>
      <w:r w:rsidR="000E19F1">
        <w:t>toxicodynamics</w:t>
      </w:r>
      <w:proofErr w:type="spellEnd"/>
      <w:r w:rsidR="000E19F1">
        <w:t xml:space="preserve">. </w:t>
      </w:r>
      <w:r w:rsidR="002E4FF0">
        <w:t xml:space="preserve">Whilst toxicodynamic data may be used in conjunction with other data sources, </w:t>
      </w:r>
      <w:r w:rsidR="00825D7D">
        <w:t>approach</w:t>
      </w:r>
      <w:r w:rsidR="002E4FF0">
        <w:t>es</w:t>
      </w:r>
      <w:r w:rsidR="00825D7D">
        <w:t xml:space="preserve"> to read-across </w:t>
      </w:r>
      <w:r w:rsidR="00992693">
        <w:t xml:space="preserve">based solely on </w:t>
      </w:r>
      <w:r w:rsidR="00D03AC6">
        <w:t xml:space="preserve">biological similarity using </w:t>
      </w:r>
      <w:r w:rsidR="00821B13">
        <w:t>NAM data</w:t>
      </w:r>
      <w:r w:rsidR="002E4FF0">
        <w:t>,</w:t>
      </w:r>
      <w:r w:rsidR="00821B13">
        <w:t xml:space="preserve"> such as from </w:t>
      </w:r>
      <w:r w:rsidR="00F21CA8">
        <w:t xml:space="preserve">those </w:t>
      </w:r>
      <w:r w:rsidR="00566AB5">
        <w:t>-</w:t>
      </w:r>
      <w:r w:rsidR="00821B13">
        <w:t xml:space="preserve">omics </w:t>
      </w:r>
      <w:r w:rsidR="002E4FF0">
        <w:t>are</w:t>
      </w:r>
      <w:r w:rsidR="00570E08">
        <w:t xml:space="preserve"> also becoming commonplace, see Naka</w:t>
      </w:r>
      <w:r w:rsidR="00691023">
        <w:t xml:space="preserve">gawa et al. </w:t>
      </w:r>
      <w:r w:rsidR="000E1B1B">
        <w:t>[1</w:t>
      </w:r>
      <w:r w:rsidR="00EB3463">
        <w:t>5</w:t>
      </w:r>
      <w:r w:rsidR="000E1B1B">
        <w:t>]</w:t>
      </w:r>
      <w:r w:rsidR="00691023">
        <w:t xml:space="preserve"> </w:t>
      </w:r>
      <w:r w:rsidR="00AC1711">
        <w:t>and Escher et al</w:t>
      </w:r>
      <w:r w:rsidR="000E1B1B">
        <w:t>.</w:t>
      </w:r>
      <w:r w:rsidR="00AC1711">
        <w:t xml:space="preserve"> </w:t>
      </w:r>
      <w:r w:rsidR="000E1B1B">
        <w:t>[1</w:t>
      </w:r>
      <w:r w:rsidR="00EB3463">
        <w:t>6</w:t>
      </w:r>
      <w:r w:rsidR="000E1B1B">
        <w:t>]</w:t>
      </w:r>
      <w:r w:rsidR="00AC1711">
        <w:t xml:space="preserve"> </w:t>
      </w:r>
      <w:r w:rsidR="00691023">
        <w:t>as excellent example</w:t>
      </w:r>
      <w:r w:rsidR="00AC1711">
        <w:t>s</w:t>
      </w:r>
      <w:r w:rsidR="00825D7D">
        <w:t xml:space="preserve">. </w:t>
      </w:r>
    </w:p>
    <w:p w14:paraId="50947FF0" w14:textId="77B7CF9A" w:rsidR="001742CA" w:rsidRDefault="00FA0B35" w:rsidP="00154DC3">
      <w:pPr>
        <w:pStyle w:val="ListParagraph"/>
        <w:numPr>
          <w:ilvl w:val="0"/>
          <w:numId w:val="5"/>
        </w:numPr>
        <w:spacing w:after="120" w:line="480" w:lineRule="auto"/>
        <w:jc w:val="both"/>
      </w:pPr>
      <w:proofErr w:type="spellStart"/>
      <w:r>
        <w:t>Toxicokinetics</w:t>
      </w:r>
      <w:proofErr w:type="spellEnd"/>
      <w:r>
        <w:t xml:space="preserve">. </w:t>
      </w:r>
      <w:r w:rsidR="006E6618">
        <w:t xml:space="preserve">Historically, a significant barrier to acceptance of read-across was the failure to establish similarity in toxicokinetic behaviour </w:t>
      </w:r>
      <w:r w:rsidR="000E1B1B">
        <w:t>[1</w:t>
      </w:r>
      <w:r w:rsidR="00EB3463">
        <w:t>7</w:t>
      </w:r>
      <w:r w:rsidR="000E1B1B">
        <w:t>]</w:t>
      </w:r>
      <w:r w:rsidR="00BF6DDA">
        <w:t xml:space="preserve"> and th</w:t>
      </w:r>
      <w:r w:rsidR="00EA77E7">
        <w:t xml:space="preserve">ere are </w:t>
      </w:r>
      <w:r w:rsidR="00BF6DDA">
        <w:t xml:space="preserve">several factors to consider. A significant concern is where the target molecule may have greater bioavailability than the source chemical, in general, and more specifically a higher level of exposure at the target site. Another concern is potential differences in metabolic profile, such as the rate, extent and route of metabolism, and in particular </w:t>
      </w:r>
      <w:r w:rsidR="00C774CE">
        <w:t xml:space="preserve">whether the </w:t>
      </w:r>
      <w:r w:rsidR="00BF6DDA">
        <w:t xml:space="preserve">target </w:t>
      </w:r>
      <w:r w:rsidR="00C774CE">
        <w:t xml:space="preserve">chemical may produce </w:t>
      </w:r>
      <w:r w:rsidR="00C32A32">
        <w:t>toxic metabolites</w:t>
      </w:r>
      <w:r w:rsidR="00C774CE">
        <w:t xml:space="preserve"> not produced (or produced to a lesser extent) than the source chemical.</w:t>
      </w:r>
      <w:r w:rsidR="00BF6DDA">
        <w:t xml:space="preserve">  </w:t>
      </w:r>
    </w:p>
    <w:p w14:paraId="17B7E480" w14:textId="77777777" w:rsidR="00BF6DDA" w:rsidRDefault="00BF6DDA" w:rsidP="00154DC3">
      <w:pPr>
        <w:pStyle w:val="ListParagraph"/>
        <w:spacing w:after="120" w:line="480" w:lineRule="auto"/>
        <w:jc w:val="both"/>
      </w:pPr>
    </w:p>
    <w:p w14:paraId="7EE62820" w14:textId="61A43457" w:rsidR="00BF6DDA" w:rsidRDefault="006210F3" w:rsidP="00154DC3">
      <w:pPr>
        <w:pStyle w:val="ListParagraph"/>
        <w:spacing w:after="120" w:line="480" w:lineRule="auto"/>
        <w:ind w:left="360"/>
        <w:jc w:val="both"/>
      </w:pPr>
      <w:r>
        <w:t xml:space="preserve">Table 1 summarises the key factors to consider in determining the chemical, toxicodynamic and toxicokinetic domains of a read across prediction. The relevance of these domains for different read-across scenarios are </w:t>
      </w:r>
      <w:r w:rsidR="00F44E8A">
        <w:t>specifically identified</w:t>
      </w:r>
      <w:r>
        <w:t xml:space="preserve"> </w:t>
      </w:r>
      <w:r w:rsidR="00DE3E3F">
        <w:t xml:space="preserve">in </w:t>
      </w:r>
      <w:r w:rsidR="001742CA">
        <w:t>T</w:t>
      </w:r>
      <w:r w:rsidR="00DE3E3F">
        <w:t xml:space="preserve">able </w:t>
      </w:r>
      <w:r w:rsidR="001742CA">
        <w:t xml:space="preserve">1 </w:t>
      </w:r>
      <w:r>
        <w:t xml:space="preserve">and </w:t>
      </w:r>
      <w:r w:rsidR="00F44E8A">
        <w:t xml:space="preserve">the concepts are </w:t>
      </w:r>
      <w:r>
        <w:t>expanded on further below.</w:t>
      </w:r>
    </w:p>
    <w:p w14:paraId="5E9D0177" w14:textId="77777777" w:rsidR="00CF6EE3" w:rsidRDefault="00CF6EE3" w:rsidP="00CF18C5">
      <w:pPr>
        <w:spacing w:after="120" w:line="480" w:lineRule="auto"/>
      </w:pPr>
      <w:r>
        <w:br w:type="page"/>
      </w:r>
    </w:p>
    <w:p w14:paraId="37B75460" w14:textId="77777777" w:rsidR="003E7544" w:rsidRDefault="003E7544" w:rsidP="00CF18C5">
      <w:pPr>
        <w:spacing w:after="120" w:line="480" w:lineRule="auto"/>
        <w:sectPr w:rsidR="003E7544" w:rsidSect="00B640AC">
          <w:footerReference w:type="default" r:id="rId10"/>
          <w:type w:val="nextColumn"/>
          <w:pgSz w:w="11906" w:h="16838"/>
          <w:pgMar w:top="1440" w:right="1440" w:bottom="1440" w:left="1440" w:header="709" w:footer="709" w:gutter="0"/>
          <w:lnNumType w:countBy="1" w:restart="continuous"/>
          <w:cols w:space="708"/>
          <w:docGrid w:linePitch="360"/>
        </w:sectPr>
      </w:pPr>
    </w:p>
    <w:p w14:paraId="3BB7D063" w14:textId="77777777" w:rsidR="003E7544" w:rsidRDefault="003E7544" w:rsidP="00CF18C5">
      <w:pPr>
        <w:spacing w:after="120" w:line="480" w:lineRule="auto"/>
      </w:pPr>
      <w:r>
        <w:t>Table 1. Key applicability domain criteria for the relationship between target and source chemical(s) indicating which are most relevant for given read-across scenarios</w:t>
      </w:r>
    </w:p>
    <w:tbl>
      <w:tblPr>
        <w:tblStyle w:val="TableGrid"/>
        <w:tblW w:w="14596" w:type="dxa"/>
        <w:tblLook w:val="04A0" w:firstRow="1" w:lastRow="0" w:firstColumn="1" w:lastColumn="0" w:noHBand="0" w:noVBand="1"/>
      </w:tblPr>
      <w:tblGrid>
        <w:gridCol w:w="4815"/>
        <w:gridCol w:w="4678"/>
        <w:gridCol w:w="5103"/>
      </w:tblGrid>
      <w:tr w:rsidR="003E7544" w:rsidRPr="00BD33F4" w14:paraId="59EDFE4C" w14:textId="77777777" w:rsidTr="000A36C9">
        <w:tc>
          <w:tcPr>
            <w:tcW w:w="14596" w:type="dxa"/>
            <w:gridSpan w:val="3"/>
            <w:shd w:val="clear" w:color="auto" w:fill="auto"/>
          </w:tcPr>
          <w:p w14:paraId="15C24C18" w14:textId="77777777" w:rsidR="003E7544" w:rsidRPr="00BD33F4" w:rsidRDefault="003E7544" w:rsidP="00CF18C5">
            <w:pPr>
              <w:spacing w:after="120" w:line="480" w:lineRule="auto"/>
              <w:jc w:val="center"/>
              <w:rPr>
                <w:b/>
                <w:bCs/>
              </w:rPr>
            </w:pPr>
            <w:r w:rsidRPr="00BD33F4">
              <w:rPr>
                <w:b/>
                <w:bCs/>
              </w:rPr>
              <w:t>Key Applicability Domain Criteria</w:t>
            </w:r>
          </w:p>
        </w:tc>
      </w:tr>
      <w:tr w:rsidR="00EF152F" w:rsidRPr="00BD33F4" w14:paraId="57EBDBFC" w14:textId="77777777" w:rsidTr="000A36C9">
        <w:tc>
          <w:tcPr>
            <w:tcW w:w="14596" w:type="dxa"/>
            <w:gridSpan w:val="3"/>
            <w:shd w:val="clear" w:color="auto" w:fill="auto"/>
          </w:tcPr>
          <w:p w14:paraId="2A534787" w14:textId="77777777" w:rsidR="00EF152F" w:rsidRPr="00BD33F4" w:rsidRDefault="00EF152F" w:rsidP="00910670">
            <w:pPr>
              <w:spacing w:after="120" w:line="480" w:lineRule="auto"/>
              <w:jc w:val="center"/>
              <w:rPr>
                <w:b/>
                <w:bCs/>
              </w:rPr>
            </w:pPr>
          </w:p>
        </w:tc>
      </w:tr>
      <w:tr w:rsidR="003E7544" w:rsidRPr="00BD33F4" w14:paraId="36932B5F" w14:textId="77777777" w:rsidTr="000A36C9">
        <w:tc>
          <w:tcPr>
            <w:tcW w:w="4815" w:type="dxa"/>
            <w:tcBorders>
              <w:bottom w:val="single" w:sz="4" w:space="0" w:color="auto"/>
            </w:tcBorders>
            <w:shd w:val="clear" w:color="auto" w:fill="auto"/>
          </w:tcPr>
          <w:p w14:paraId="1A4191B0" w14:textId="77777777" w:rsidR="003E7544" w:rsidRPr="00BD33F4" w:rsidRDefault="003E7544" w:rsidP="00910670">
            <w:pPr>
              <w:spacing w:after="120" w:line="480" w:lineRule="auto"/>
              <w:jc w:val="center"/>
              <w:rPr>
                <w:b/>
                <w:bCs/>
              </w:rPr>
            </w:pPr>
            <w:r w:rsidRPr="00BD33F4">
              <w:rPr>
                <w:b/>
                <w:bCs/>
              </w:rPr>
              <w:t>Chemistry</w:t>
            </w:r>
          </w:p>
        </w:tc>
        <w:tc>
          <w:tcPr>
            <w:tcW w:w="4678" w:type="dxa"/>
            <w:tcBorders>
              <w:bottom w:val="single" w:sz="4" w:space="0" w:color="auto"/>
            </w:tcBorders>
            <w:shd w:val="clear" w:color="auto" w:fill="auto"/>
          </w:tcPr>
          <w:p w14:paraId="607ECBE0" w14:textId="77777777" w:rsidR="003E7544" w:rsidRPr="00BD33F4" w:rsidRDefault="003E7544" w:rsidP="00910670">
            <w:pPr>
              <w:spacing w:after="120" w:line="480" w:lineRule="auto"/>
              <w:jc w:val="center"/>
              <w:rPr>
                <w:b/>
                <w:bCs/>
              </w:rPr>
            </w:pPr>
            <w:proofErr w:type="spellStart"/>
            <w:r w:rsidRPr="00BD33F4">
              <w:rPr>
                <w:b/>
                <w:bCs/>
              </w:rPr>
              <w:t>Toxicodynamics</w:t>
            </w:r>
            <w:proofErr w:type="spellEnd"/>
          </w:p>
        </w:tc>
        <w:tc>
          <w:tcPr>
            <w:tcW w:w="5103" w:type="dxa"/>
            <w:tcBorders>
              <w:bottom w:val="single" w:sz="4" w:space="0" w:color="auto"/>
            </w:tcBorders>
            <w:shd w:val="clear" w:color="auto" w:fill="auto"/>
          </w:tcPr>
          <w:p w14:paraId="7B604064" w14:textId="77777777" w:rsidR="003E7544" w:rsidRPr="00BD33F4" w:rsidRDefault="003E7544" w:rsidP="00910670">
            <w:pPr>
              <w:spacing w:after="120" w:line="480" w:lineRule="auto"/>
              <w:jc w:val="center"/>
              <w:rPr>
                <w:b/>
                <w:bCs/>
              </w:rPr>
            </w:pPr>
            <w:proofErr w:type="spellStart"/>
            <w:r w:rsidRPr="00BD33F4">
              <w:rPr>
                <w:b/>
                <w:bCs/>
              </w:rPr>
              <w:t>Toxicokinetics</w:t>
            </w:r>
            <w:proofErr w:type="spellEnd"/>
          </w:p>
        </w:tc>
      </w:tr>
      <w:tr w:rsidR="00EF152F" w:rsidRPr="00BD33F4" w14:paraId="26AB7741" w14:textId="77777777" w:rsidTr="000A36C9">
        <w:tc>
          <w:tcPr>
            <w:tcW w:w="14596" w:type="dxa"/>
            <w:gridSpan w:val="3"/>
            <w:shd w:val="clear" w:color="auto" w:fill="auto"/>
          </w:tcPr>
          <w:p w14:paraId="570645AA" w14:textId="77777777" w:rsidR="00EF152F" w:rsidRPr="00BD33F4" w:rsidRDefault="00EF152F" w:rsidP="00910670">
            <w:pPr>
              <w:spacing w:after="120" w:line="480" w:lineRule="auto"/>
              <w:rPr>
                <w:i/>
                <w:iCs/>
              </w:rPr>
            </w:pPr>
          </w:p>
        </w:tc>
      </w:tr>
      <w:tr w:rsidR="001B1BC5" w:rsidRPr="00BD33F4" w14:paraId="76FF66DB" w14:textId="77777777" w:rsidTr="000A36C9">
        <w:tc>
          <w:tcPr>
            <w:tcW w:w="4815" w:type="dxa"/>
            <w:tcBorders>
              <w:right w:val="single" w:sz="18" w:space="0" w:color="auto"/>
            </w:tcBorders>
            <w:shd w:val="clear" w:color="auto" w:fill="auto"/>
          </w:tcPr>
          <w:p w14:paraId="46F3BCD8" w14:textId="77777777" w:rsidR="003E7544" w:rsidRPr="00BD33F4" w:rsidRDefault="003E7544" w:rsidP="00910670">
            <w:pPr>
              <w:spacing w:after="120" w:line="480" w:lineRule="auto"/>
              <w:rPr>
                <w:i/>
                <w:iCs/>
              </w:rPr>
            </w:pPr>
            <w:r w:rsidRPr="00BD33F4">
              <w:rPr>
                <w:i/>
                <w:iCs/>
              </w:rPr>
              <w:t xml:space="preserve">Chemical substructure: </w:t>
            </w:r>
          </w:p>
          <w:p w14:paraId="0FA08270" w14:textId="77777777" w:rsidR="003E7544" w:rsidRPr="00BD33F4" w:rsidRDefault="003E7544" w:rsidP="00910670">
            <w:pPr>
              <w:spacing w:after="120" w:line="480" w:lineRule="auto"/>
            </w:pPr>
            <w:r w:rsidRPr="00BD33F4">
              <w:t>- Presence of key (activity defining) structural fragment(s); additional fragments have no significant dissimilarities* (i.e. unlikely to modify activity)</w:t>
            </w:r>
          </w:p>
          <w:p w14:paraId="1BB8BF9B" w14:textId="77777777" w:rsidR="003E7544" w:rsidRPr="00BD33F4" w:rsidRDefault="003E7544" w:rsidP="00910670">
            <w:pPr>
              <w:spacing w:after="120" w:line="480" w:lineRule="auto"/>
            </w:pPr>
          </w:p>
          <w:p w14:paraId="199B6AA3" w14:textId="77777777" w:rsidR="003E7544" w:rsidRPr="00BD33F4" w:rsidRDefault="003E7544" w:rsidP="00910670">
            <w:pPr>
              <w:spacing w:after="120" w:line="480" w:lineRule="auto"/>
              <w:rPr>
                <w:i/>
                <w:iCs/>
              </w:rPr>
            </w:pPr>
            <w:r w:rsidRPr="00BD33F4">
              <w:rPr>
                <w:i/>
                <w:iCs/>
              </w:rPr>
              <w:t>Molecular similarity:</w:t>
            </w:r>
          </w:p>
          <w:p w14:paraId="7A56B412" w14:textId="77777777" w:rsidR="003E7544" w:rsidRPr="00BD33F4" w:rsidRDefault="003E7544" w:rsidP="00910670">
            <w:pPr>
              <w:spacing w:after="120" w:line="480" w:lineRule="auto"/>
            </w:pPr>
            <w:r w:rsidRPr="00BD33F4">
              <w:t>- Determined by appropriate similarity metric</w:t>
            </w:r>
          </w:p>
          <w:p w14:paraId="6B4713F7" w14:textId="77777777" w:rsidR="003E7544" w:rsidRPr="00BD33F4" w:rsidRDefault="003E7544" w:rsidP="00910670">
            <w:pPr>
              <w:spacing w:after="120" w:line="480" w:lineRule="auto"/>
            </w:pPr>
          </w:p>
          <w:p w14:paraId="20D5EDA2" w14:textId="77777777" w:rsidR="003E7544" w:rsidRPr="00BD33F4" w:rsidRDefault="003E7544" w:rsidP="00910670">
            <w:pPr>
              <w:spacing w:after="120" w:line="480" w:lineRule="auto"/>
              <w:rPr>
                <w:i/>
                <w:iCs/>
              </w:rPr>
            </w:pPr>
            <w:proofErr w:type="spellStart"/>
            <w:r w:rsidRPr="00BD33F4">
              <w:rPr>
                <w:i/>
                <w:iCs/>
              </w:rPr>
              <w:t>Physico</w:t>
            </w:r>
            <w:proofErr w:type="spellEnd"/>
            <w:r w:rsidRPr="00BD33F4">
              <w:rPr>
                <w:i/>
                <w:iCs/>
              </w:rPr>
              <w:t>-chemical properties:</w:t>
            </w:r>
          </w:p>
          <w:p w14:paraId="4A0A1FEA" w14:textId="77777777" w:rsidR="003E7544" w:rsidRPr="00BD33F4" w:rsidRDefault="003E7544" w:rsidP="00910670">
            <w:pPr>
              <w:spacing w:after="120" w:line="480" w:lineRule="auto"/>
            </w:pPr>
            <w:r w:rsidRPr="00BD33F4">
              <w:t xml:space="preserve">- Relevant </w:t>
            </w:r>
            <w:proofErr w:type="spellStart"/>
            <w:r w:rsidRPr="00BD33F4">
              <w:t>physico</w:t>
            </w:r>
            <w:proofErr w:type="spellEnd"/>
            <w:r w:rsidRPr="00BD33F4">
              <w:t>-chemical properties are within requisite boundaries</w:t>
            </w:r>
          </w:p>
        </w:tc>
        <w:tc>
          <w:tcPr>
            <w:tcW w:w="4678" w:type="dxa"/>
            <w:tcBorders>
              <w:left w:val="single" w:sz="18" w:space="0" w:color="auto"/>
              <w:right w:val="single" w:sz="18" w:space="0" w:color="auto"/>
            </w:tcBorders>
            <w:shd w:val="clear" w:color="auto" w:fill="auto"/>
          </w:tcPr>
          <w:p w14:paraId="01773977" w14:textId="77777777" w:rsidR="003E7544" w:rsidRPr="00BD33F4" w:rsidRDefault="003E7544" w:rsidP="00910670">
            <w:pPr>
              <w:spacing w:after="120" w:line="480" w:lineRule="auto"/>
              <w:rPr>
                <w:i/>
                <w:iCs/>
              </w:rPr>
            </w:pPr>
            <w:r w:rsidRPr="00BD33F4">
              <w:rPr>
                <w:i/>
                <w:iCs/>
              </w:rPr>
              <w:t>Toxicological activity:</w:t>
            </w:r>
          </w:p>
          <w:p w14:paraId="55E43B75" w14:textId="77777777" w:rsidR="003E7544" w:rsidRPr="00BD33F4" w:rsidRDefault="003E7544" w:rsidP="00910670">
            <w:pPr>
              <w:spacing w:after="120" w:line="480" w:lineRule="auto"/>
            </w:pPr>
            <w:r w:rsidRPr="00BD33F4">
              <w:t>- Toxicological endpoint data</w:t>
            </w:r>
          </w:p>
          <w:p w14:paraId="2FC9DE4F" w14:textId="77777777" w:rsidR="003E7544" w:rsidRPr="00BD33F4" w:rsidRDefault="003E7544" w:rsidP="00910670">
            <w:pPr>
              <w:spacing w:after="120" w:line="480" w:lineRule="auto"/>
            </w:pPr>
          </w:p>
          <w:p w14:paraId="6E6243BB" w14:textId="77777777" w:rsidR="003E7544" w:rsidRPr="00BD33F4" w:rsidRDefault="003E7544" w:rsidP="00910670">
            <w:pPr>
              <w:spacing w:after="120" w:line="480" w:lineRule="auto"/>
            </w:pPr>
            <w:r w:rsidRPr="00BD33F4">
              <w:rPr>
                <w:i/>
                <w:iCs/>
              </w:rPr>
              <w:t>MIE:</w:t>
            </w:r>
            <w:r w:rsidRPr="00BD33F4">
              <w:t xml:space="preserve"> </w:t>
            </w:r>
          </w:p>
          <w:p w14:paraId="4ACD3E44" w14:textId="77777777" w:rsidR="003E7544" w:rsidRPr="00BD33F4" w:rsidRDefault="003E7544" w:rsidP="00910670">
            <w:pPr>
              <w:spacing w:after="120" w:line="480" w:lineRule="auto"/>
            </w:pPr>
            <w:r w:rsidRPr="00BD33F4">
              <w:t>- Ability to elicit same molecular initiating event</w:t>
            </w:r>
          </w:p>
          <w:p w14:paraId="3EDA8EBF" w14:textId="77777777" w:rsidR="003E7544" w:rsidRPr="00BD33F4" w:rsidRDefault="003E7544" w:rsidP="00910670">
            <w:pPr>
              <w:spacing w:after="120" w:line="480" w:lineRule="auto"/>
            </w:pPr>
          </w:p>
          <w:p w14:paraId="61A2F945" w14:textId="77777777" w:rsidR="003E7544" w:rsidRPr="00BD33F4" w:rsidRDefault="003E7544" w:rsidP="00910670">
            <w:pPr>
              <w:spacing w:after="120" w:line="480" w:lineRule="auto"/>
            </w:pPr>
            <w:r w:rsidRPr="00BD33F4">
              <w:rPr>
                <w:i/>
                <w:iCs/>
              </w:rPr>
              <w:t>Mechanistic analysis:</w:t>
            </w:r>
            <w:r w:rsidRPr="00BD33F4">
              <w:t xml:space="preserve"> </w:t>
            </w:r>
          </w:p>
          <w:p w14:paraId="4441BBA2" w14:textId="77777777" w:rsidR="003E7544" w:rsidRPr="00BD33F4" w:rsidRDefault="003E7544" w:rsidP="00910670">
            <w:pPr>
              <w:spacing w:after="120" w:line="480" w:lineRule="auto"/>
            </w:pPr>
            <w:r w:rsidRPr="00BD33F4">
              <w:t xml:space="preserve">- Evidence of similarity in mode/mechanism of action*; (conversely no evidence (or likelihood) of specific toxicities that are elicited </w:t>
            </w:r>
            <w:r w:rsidRPr="00BD33F4">
              <w:rPr>
                <w:u w:val="single"/>
              </w:rPr>
              <w:t>only</w:t>
            </w:r>
            <w:r w:rsidRPr="00BD33F4">
              <w:t xml:space="preserve"> by the target or the source*)</w:t>
            </w:r>
          </w:p>
        </w:tc>
        <w:tc>
          <w:tcPr>
            <w:tcW w:w="5103" w:type="dxa"/>
            <w:tcBorders>
              <w:left w:val="single" w:sz="18" w:space="0" w:color="auto"/>
            </w:tcBorders>
            <w:shd w:val="clear" w:color="auto" w:fill="auto"/>
          </w:tcPr>
          <w:p w14:paraId="28C82173" w14:textId="77777777" w:rsidR="003E7544" w:rsidRPr="00BD33F4" w:rsidRDefault="003E7544" w:rsidP="00910670">
            <w:pPr>
              <w:spacing w:after="120" w:line="480" w:lineRule="auto"/>
              <w:rPr>
                <w:i/>
                <w:iCs/>
              </w:rPr>
            </w:pPr>
            <w:r w:rsidRPr="00BD33F4">
              <w:rPr>
                <w:i/>
                <w:iCs/>
              </w:rPr>
              <w:t>ADME:</w:t>
            </w:r>
          </w:p>
          <w:p w14:paraId="20B80C53" w14:textId="77777777" w:rsidR="003E7544" w:rsidRPr="00BD33F4" w:rsidRDefault="003E7544" w:rsidP="00910670">
            <w:pPr>
              <w:spacing w:after="120" w:line="480" w:lineRule="auto"/>
            </w:pPr>
            <w:r w:rsidRPr="00BD33F4">
              <w:t>- Evidence of similarity in key absorption, distribution, metabolism (see also below) and excretion (ADME) properties*</w:t>
            </w:r>
          </w:p>
          <w:p w14:paraId="4FBD93EF" w14:textId="77777777" w:rsidR="003E7544" w:rsidRPr="00BD33F4" w:rsidRDefault="003E7544" w:rsidP="00910670">
            <w:pPr>
              <w:spacing w:after="120" w:line="480" w:lineRule="auto"/>
            </w:pPr>
            <w:r w:rsidRPr="00BD33F4">
              <w:t>- Level of target organ exposure (indicated by bioavailability, plasma/organ concentration-time profile; maximal or steady-state concentrations)</w:t>
            </w:r>
          </w:p>
          <w:p w14:paraId="36E1121D" w14:textId="77777777" w:rsidR="003E7544" w:rsidRPr="00BD33F4" w:rsidRDefault="003E7544" w:rsidP="00910670">
            <w:pPr>
              <w:spacing w:after="120" w:line="480" w:lineRule="auto"/>
            </w:pPr>
          </w:p>
          <w:p w14:paraId="7380B7A7" w14:textId="77777777" w:rsidR="003E7544" w:rsidRPr="00BD33F4" w:rsidRDefault="003E7544" w:rsidP="00910670">
            <w:pPr>
              <w:spacing w:after="120" w:line="480" w:lineRule="auto"/>
              <w:rPr>
                <w:i/>
                <w:iCs/>
              </w:rPr>
            </w:pPr>
            <w:r w:rsidRPr="00BD33F4">
              <w:rPr>
                <w:i/>
                <w:iCs/>
              </w:rPr>
              <w:t>Metabolism:</w:t>
            </w:r>
          </w:p>
          <w:p w14:paraId="2C1268B2" w14:textId="77777777" w:rsidR="003E7544" w:rsidRPr="00BD33F4" w:rsidRDefault="003E7544" w:rsidP="00910670">
            <w:pPr>
              <w:spacing w:after="120" w:line="480" w:lineRule="auto"/>
            </w:pPr>
            <w:r w:rsidRPr="00BD33F4">
              <w:t>Similarity in metabolic profile (where relevant)</w:t>
            </w:r>
          </w:p>
        </w:tc>
      </w:tr>
      <w:tr w:rsidR="00EF152F" w:rsidRPr="00BD33F4" w14:paraId="496832BF" w14:textId="77777777" w:rsidTr="000A36C9">
        <w:tc>
          <w:tcPr>
            <w:tcW w:w="14596" w:type="dxa"/>
            <w:gridSpan w:val="3"/>
            <w:shd w:val="clear" w:color="auto" w:fill="auto"/>
          </w:tcPr>
          <w:p w14:paraId="493D22AD" w14:textId="77777777" w:rsidR="00EF152F" w:rsidRPr="00BD33F4" w:rsidRDefault="00EF152F" w:rsidP="00154DC3">
            <w:pPr>
              <w:spacing w:after="120" w:line="480" w:lineRule="auto"/>
              <w:rPr>
                <w:i/>
                <w:iCs/>
              </w:rPr>
            </w:pPr>
          </w:p>
        </w:tc>
      </w:tr>
      <w:tr w:rsidR="003E7544" w:rsidRPr="00BD33F4" w14:paraId="40EA22B8" w14:textId="77777777" w:rsidTr="000A36C9">
        <w:tc>
          <w:tcPr>
            <w:tcW w:w="14596" w:type="dxa"/>
            <w:gridSpan w:val="3"/>
            <w:shd w:val="clear" w:color="auto" w:fill="auto"/>
          </w:tcPr>
          <w:p w14:paraId="1E370C93" w14:textId="77777777" w:rsidR="003E7544" w:rsidRPr="00BD33F4" w:rsidRDefault="003E7544" w:rsidP="00154DC3">
            <w:pPr>
              <w:spacing w:after="120" w:line="480" w:lineRule="auto"/>
              <w:jc w:val="center"/>
              <w:rPr>
                <w:b/>
                <w:bCs/>
              </w:rPr>
            </w:pPr>
            <w:r w:rsidRPr="00BD33F4">
              <w:rPr>
                <w:b/>
                <w:bCs/>
              </w:rPr>
              <w:t>Scenario-Specific Considerations</w:t>
            </w:r>
          </w:p>
        </w:tc>
      </w:tr>
      <w:tr w:rsidR="00EF152F" w:rsidRPr="00BD33F4" w14:paraId="7702CA44" w14:textId="77777777" w:rsidTr="000A36C9">
        <w:tc>
          <w:tcPr>
            <w:tcW w:w="14596" w:type="dxa"/>
            <w:gridSpan w:val="3"/>
            <w:tcBorders>
              <w:bottom w:val="single" w:sz="4" w:space="0" w:color="auto"/>
            </w:tcBorders>
            <w:shd w:val="clear" w:color="auto" w:fill="auto"/>
          </w:tcPr>
          <w:p w14:paraId="5336C3CF" w14:textId="77777777" w:rsidR="00EF152F" w:rsidRPr="00BD33F4" w:rsidRDefault="00EF152F" w:rsidP="00154DC3">
            <w:pPr>
              <w:spacing w:after="120" w:line="480" w:lineRule="auto"/>
              <w:rPr>
                <w:b/>
                <w:bCs/>
              </w:rPr>
            </w:pPr>
          </w:p>
        </w:tc>
      </w:tr>
      <w:tr w:rsidR="00EF152F" w:rsidRPr="00BD33F4" w14:paraId="58D60965" w14:textId="77777777" w:rsidTr="000A36C9">
        <w:tc>
          <w:tcPr>
            <w:tcW w:w="4815" w:type="dxa"/>
            <w:tcBorders>
              <w:bottom w:val="single" w:sz="4" w:space="0" w:color="auto"/>
              <w:right w:val="single" w:sz="18" w:space="0" w:color="auto"/>
            </w:tcBorders>
            <w:shd w:val="clear" w:color="auto" w:fill="auto"/>
          </w:tcPr>
          <w:p w14:paraId="7142B2F9" w14:textId="77777777" w:rsidR="003E7544" w:rsidRPr="00BD33F4" w:rsidRDefault="003E7544" w:rsidP="00154DC3">
            <w:pPr>
              <w:spacing w:after="120" w:line="480" w:lineRule="auto"/>
            </w:pPr>
          </w:p>
        </w:tc>
        <w:tc>
          <w:tcPr>
            <w:tcW w:w="4678" w:type="dxa"/>
            <w:tcBorders>
              <w:left w:val="single" w:sz="18" w:space="0" w:color="auto"/>
              <w:bottom w:val="single" w:sz="4" w:space="0" w:color="auto"/>
              <w:right w:val="single" w:sz="18" w:space="0" w:color="auto"/>
            </w:tcBorders>
            <w:shd w:val="clear" w:color="auto" w:fill="auto"/>
          </w:tcPr>
          <w:p w14:paraId="26D8FB43" w14:textId="77777777" w:rsidR="003E7544" w:rsidRPr="00BD33F4" w:rsidRDefault="003E7544" w:rsidP="00154DC3">
            <w:pPr>
              <w:spacing w:after="120" w:line="480" w:lineRule="auto"/>
            </w:pPr>
            <w:r w:rsidRPr="00BD33F4">
              <w:rPr>
                <w:b/>
                <w:bCs/>
              </w:rPr>
              <w:t>Biological Read-Across:</w:t>
            </w:r>
            <w:r w:rsidRPr="00BD33F4">
              <w:t xml:space="preserve"> Focus on similarity of biological profile (</w:t>
            </w:r>
            <w:proofErr w:type="spellStart"/>
            <w:r w:rsidRPr="00BD33F4">
              <w:t>Toxicodynamics</w:t>
            </w:r>
            <w:proofErr w:type="spellEnd"/>
            <w:r w:rsidRPr="00BD33F4">
              <w:t>)</w:t>
            </w:r>
          </w:p>
          <w:p w14:paraId="6D2BF61B" w14:textId="77777777" w:rsidR="003E7544" w:rsidRPr="00BD33F4" w:rsidRDefault="003E7544" w:rsidP="00154DC3">
            <w:pPr>
              <w:spacing w:after="120" w:line="480" w:lineRule="auto"/>
            </w:pPr>
          </w:p>
        </w:tc>
        <w:tc>
          <w:tcPr>
            <w:tcW w:w="5103" w:type="dxa"/>
            <w:tcBorders>
              <w:left w:val="single" w:sz="18" w:space="0" w:color="auto"/>
              <w:bottom w:val="single" w:sz="4" w:space="0" w:color="auto"/>
            </w:tcBorders>
            <w:shd w:val="clear" w:color="auto" w:fill="auto"/>
          </w:tcPr>
          <w:p w14:paraId="4A8D4F90" w14:textId="77777777" w:rsidR="003E7544" w:rsidRPr="00BD33F4" w:rsidRDefault="003E7544" w:rsidP="00154DC3">
            <w:pPr>
              <w:spacing w:after="120" w:line="480" w:lineRule="auto"/>
              <w:rPr>
                <w:b/>
                <w:bCs/>
              </w:rPr>
            </w:pPr>
            <w:r w:rsidRPr="00BD33F4">
              <w:rPr>
                <w:b/>
                <w:bCs/>
              </w:rPr>
              <w:t>Common Metabolite / Degradation Product:</w:t>
            </w:r>
          </w:p>
          <w:p w14:paraId="2A321491" w14:textId="77777777" w:rsidR="003E7544" w:rsidRPr="00BD33F4" w:rsidRDefault="003E7544" w:rsidP="00154DC3">
            <w:pPr>
              <w:spacing w:after="120" w:line="480" w:lineRule="auto"/>
            </w:pPr>
            <w:r w:rsidRPr="00BD33F4">
              <w:t>Is the transformation product formed; is rate and extent of formation similar (</w:t>
            </w:r>
            <w:proofErr w:type="spellStart"/>
            <w:r w:rsidRPr="00BD33F4">
              <w:t>Toxicokinetics</w:t>
            </w:r>
            <w:proofErr w:type="spellEnd"/>
            <w:r w:rsidRPr="00BD33F4">
              <w:t>)</w:t>
            </w:r>
          </w:p>
          <w:p w14:paraId="5E4BBC91" w14:textId="77777777" w:rsidR="003E7544" w:rsidRPr="00BD33F4" w:rsidRDefault="003E7544" w:rsidP="00154DC3">
            <w:pPr>
              <w:spacing w:after="120" w:line="480" w:lineRule="auto"/>
            </w:pPr>
          </w:p>
        </w:tc>
      </w:tr>
      <w:tr w:rsidR="003E7544" w:rsidRPr="00BD33F4" w14:paraId="0D4CDB1C" w14:textId="77777777" w:rsidTr="000A36C9">
        <w:tc>
          <w:tcPr>
            <w:tcW w:w="9493" w:type="dxa"/>
            <w:gridSpan w:val="2"/>
            <w:tcBorders>
              <w:right w:val="single" w:sz="18" w:space="0" w:color="auto"/>
            </w:tcBorders>
            <w:shd w:val="clear" w:color="auto" w:fill="auto"/>
          </w:tcPr>
          <w:p w14:paraId="501EB74C" w14:textId="77777777" w:rsidR="003E7544" w:rsidRPr="00BD33F4" w:rsidRDefault="003E7544" w:rsidP="00154DC3">
            <w:pPr>
              <w:spacing w:after="120" w:line="480" w:lineRule="auto"/>
            </w:pPr>
            <w:r w:rsidRPr="00BD33F4">
              <w:rPr>
                <w:b/>
                <w:bCs/>
              </w:rPr>
              <w:t>UVCB / Mixtures:</w:t>
            </w:r>
            <w:r w:rsidRPr="00BD33F4">
              <w:t xml:space="preserve"> Focus on similarity of chemical profile with regard to structures / proportion of structures and link to activity (Chemistry and </w:t>
            </w:r>
            <w:proofErr w:type="spellStart"/>
            <w:r w:rsidRPr="00BD33F4">
              <w:t>Toxicodynamics</w:t>
            </w:r>
            <w:proofErr w:type="spellEnd"/>
            <w:r w:rsidRPr="00BD33F4">
              <w:t>)</w:t>
            </w:r>
          </w:p>
          <w:p w14:paraId="456ABA8C" w14:textId="77777777" w:rsidR="003E7544" w:rsidRPr="00BD33F4" w:rsidRDefault="003E7544" w:rsidP="00154DC3">
            <w:pPr>
              <w:spacing w:after="120" w:line="480" w:lineRule="auto"/>
              <w:rPr>
                <w:b/>
                <w:bCs/>
              </w:rPr>
            </w:pPr>
          </w:p>
        </w:tc>
        <w:tc>
          <w:tcPr>
            <w:tcW w:w="5103" w:type="dxa"/>
            <w:tcBorders>
              <w:left w:val="single" w:sz="18" w:space="0" w:color="auto"/>
            </w:tcBorders>
            <w:shd w:val="clear" w:color="auto" w:fill="auto"/>
          </w:tcPr>
          <w:p w14:paraId="2A8361D4" w14:textId="77777777" w:rsidR="003E7544" w:rsidRPr="00BD33F4" w:rsidRDefault="003E7544" w:rsidP="00154DC3">
            <w:pPr>
              <w:spacing w:after="120" w:line="480" w:lineRule="auto"/>
            </w:pPr>
          </w:p>
        </w:tc>
      </w:tr>
      <w:tr w:rsidR="003E7544" w14:paraId="7CF67CD9" w14:textId="77777777" w:rsidTr="000A36C9">
        <w:tc>
          <w:tcPr>
            <w:tcW w:w="14596" w:type="dxa"/>
            <w:gridSpan w:val="3"/>
            <w:shd w:val="clear" w:color="auto" w:fill="auto"/>
          </w:tcPr>
          <w:p w14:paraId="587E7386" w14:textId="77777777" w:rsidR="003E7544" w:rsidRPr="00BD33F4" w:rsidRDefault="003E7544" w:rsidP="00154DC3">
            <w:pPr>
              <w:spacing w:after="120" w:line="480" w:lineRule="auto"/>
              <w:jc w:val="center"/>
            </w:pPr>
            <w:r w:rsidRPr="00BD33F4">
              <w:rPr>
                <w:b/>
                <w:bCs/>
              </w:rPr>
              <w:t>Analogue / Category Approach:</w:t>
            </w:r>
            <w:r w:rsidRPr="00BD33F4">
              <w:t xml:space="preserve"> </w:t>
            </w:r>
          </w:p>
          <w:p w14:paraId="0622B7EC" w14:textId="77777777" w:rsidR="003E7544" w:rsidRDefault="003E7544" w:rsidP="00154DC3">
            <w:pPr>
              <w:spacing w:after="120" w:line="480" w:lineRule="auto"/>
              <w:jc w:val="center"/>
            </w:pPr>
            <w:r w:rsidRPr="00BD33F4">
              <w:t xml:space="preserve">All aspects considered (Chemistry, </w:t>
            </w:r>
            <w:proofErr w:type="spellStart"/>
            <w:r w:rsidRPr="00BD33F4">
              <w:t>Toxicodynamics</w:t>
            </w:r>
            <w:proofErr w:type="spellEnd"/>
            <w:r w:rsidRPr="00BD33F4">
              <w:t xml:space="preserve"> and </w:t>
            </w:r>
            <w:proofErr w:type="spellStart"/>
            <w:r w:rsidRPr="00BD33F4">
              <w:t>Toxicokinetics</w:t>
            </w:r>
            <w:proofErr w:type="spellEnd"/>
            <w:r w:rsidRPr="00BD33F4">
              <w:t>)</w:t>
            </w:r>
          </w:p>
        </w:tc>
      </w:tr>
    </w:tbl>
    <w:p w14:paraId="17207FCE" w14:textId="77777777" w:rsidR="003E7544" w:rsidRDefault="003E7544" w:rsidP="00154DC3">
      <w:pPr>
        <w:spacing w:after="120" w:line="480" w:lineRule="auto"/>
        <w:rPr>
          <w:i/>
          <w:iCs/>
        </w:rPr>
      </w:pPr>
      <w:r w:rsidRPr="00BB3021">
        <w:rPr>
          <w:i/>
          <w:iCs/>
        </w:rPr>
        <w:t>*according to current knowledge</w:t>
      </w:r>
    </w:p>
    <w:p w14:paraId="0F2D555B" w14:textId="4677AC99" w:rsidR="003E7544" w:rsidRDefault="003E7544" w:rsidP="00154DC3">
      <w:pPr>
        <w:spacing w:after="120" w:line="480" w:lineRule="auto"/>
      </w:pPr>
    </w:p>
    <w:p w14:paraId="42782745" w14:textId="704CC270" w:rsidR="003E7544" w:rsidRDefault="003E7544" w:rsidP="00154DC3">
      <w:pPr>
        <w:spacing w:after="120" w:line="480" w:lineRule="auto"/>
      </w:pPr>
    </w:p>
    <w:p w14:paraId="4BCC3793" w14:textId="77777777" w:rsidR="003E7544" w:rsidRDefault="003E7544" w:rsidP="00154DC3">
      <w:pPr>
        <w:spacing w:after="120" w:line="480" w:lineRule="auto"/>
      </w:pPr>
    </w:p>
    <w:p w14:paraId="0F2CB22E" w14:textId="77777777" w:rsidR="003E7544" w:rsidRDefault="003E7544" w:rsidP="00CF18C5">
      <w:pPr>
        <w:pStyle w:val="ListParagraph"/>
        <w:spacing w:after="120" w:line="480" w:lineRule="auto"/>
        <w:jc w:val="both"/>
        <w:sectPr w:rsidR="003E7544" w:rsidSect="00154DC3">
          <w:type w:val="nextColumn"/>
          <w:pgSz w:w="16838" w:h="11906" w:orient="landscape"/>
          <w:pgMar w:top="1440" w:right="1440" w:bottom="1440" w:left="1440" w:header="709" w:footer="709" w:gutter="0"/>
          <w:lnNumType w:countBy="1" w:restart="continuous"/>
          <w:cols w:space="708"/>
          <w:docGrid w:linePitch="360"/>
        </w:sectPr>
      </w:pPr>
    </w:p>
    <w:p w14:paraId="1945158D" w14:textId="77777777" w:rsidR="004A1EA8" w:rsidRPr="00D9184D" w:rsidRDefault="004A1EA8" w:rsidP="00154DC3">
      <w:pPr>
        <w:spacing w:after="120" w:line="480" w:lineRule="auto"/>
        <w:jc w:val="both"/>
        <w:rPr>
          <w:i/>
          <w:iCs/>
        </w:rPr>
      </w:pPr>
      <w:r w:rsidRPr="00D9184D">
        <w:rPr>
          <w:i/>
          <w:iCs/>
        </w:rPr>
        <w:t>2.2 Applying the read-across domain criteria</w:t>
      </w:r>
    </w:p>
    <w:p w14:paraId="45162D83" w14:textId="7A23CAAD" w:rsidR="004A1EA8" w:rsidRDefault="0052718A" w:rsidP="00154DC3">
      <w:pPr>
        <w:pStyle w:val="ListParagraph"/>
        <w:spacing w:after="120" w:line="480" w:lineRule="auto"/>
        <w:ind w:left="0"/>
        <w:jc w:val="both"/>
      </w:pPr>
      <w:r>
        <w:t>E</w:t>
      </w:r>
      <w:r w:rsidR="004A1EA8">
        <w:t xml:space="preserve">ach of the applicability domain criteria </w:t>
      </w:r>
      <w:r>
        <w:t xml:space="preserve">described in Table 1 </w:t>
      </w:r>
      <w:r w:rsidR="004A1EA8">
        <w:t>are considered individually</w:t>
      </w:r>
      <w:r>
        <w:t xml:space="preserve"> in Table 2</w:t>
      </w:r>
      <w:r w:rsidR="000E1B1B">
        <w:t xml:space="preserve"> [</w:t>
      </w:r>
      <w:r w:rsidR="00EB3463">
        <w:t>18</w:t>
      </w:r>
      <w:r w:rsidR="000E1B1B">
        <w:t>]</w:t>
      </w:r>
      <w:r w:rsidR="004A1EA8">
        <w:t>.</w:t>
      </w:r>
      <w:r w:rsidR="004A1EA8" w:rsidRPr="007D682C">
        <w:t xml:space="preserve"> </w:t>
      </w:r>
      <w:r w:rsidR="004A1EA8">
        <w:t>The nature of the information available for compounds influences how readily a compound can be determined as being within or outside of the domain (in relation to a specific criteria). Table</w:t>
      </w:r>
      <w:r w:rsidR="003964AE">
        <w:t xml:space="preserve"> 2</w:t>
      </w:r>
      <w:r w:rsidR="004A1EA8">
        <w:t xml:space="preserve"> summarises typical information available, how a domain may be defined and, pragmatically, how compounds can be assigned as being in or out of domain.  </w:t>
      </w:r>
    </w:p>
    <w:p w14:paraId="0A5887E9" w14:textId="1CABBD98" w:rsidR="004A1EA8" w:rsidRDefault="004A1EA8" w:rsidP="00154DC3">
      <w:pPr>
        <w:pStyle w:val="ListParagraph"/>
        <w:spacing w:after="120" w:line="480" w:lineRule="auto"/>
        <w:ind w:left="0"/>
        <w:jc w:val="both"/>
      </w:pPr>
      <w:r>
        <w:rPr>
          <w:color w:val="000000" w:themeColor="text1"/>
        </w:rPr>
        <w:t>A</w:t>
      </w:r>
      <w:r w:rsidRPr="00BF6DDA">
        <w:rPr>
          <w:color w:val="000000" w:themeColor="text1"/>
        </w:rPr>
        <w:t>pplicability domain</w:t>
      </w:r>
      <w:r>
        <w:rPr>
          <w:color w:val="000000" w:themeColor="text1"/>
        </w:rPr>
        <w:t xml:space="preserve"> can most readily be </w:t>
      </w:r>
      <w:r>
        <w:t xml:space="preserve">defined using chemical structure, properties and/or similarity; such approaches are often applied as a first step as these </w:t>
      </w:r>
      <w:r w:rsidRPr="007D682C">
        <w:t>criteria lend themselves to being quantified easily</w:t>
      </w:r>
      <w:r>
        <w:t xml:space="preserve">. </w:t>
      </w:r>
      <w:r w:rsidRPr="007D682C">
        <w:t>Other criteria are associated with the presence or absence of one or more structural features or chemical / biological properties. At best, these types of criteria can be only semi-quantitative</w:t>
      </w:r>
      <w:r>
        <w:t xml:space="preserve"> and are most likely to be qualitative at the current time</w:t>
      </w:r>
      <w:r w:rsidRPr="007D682C">
        <w:t>.</w:t>
      </w:r>
      <w:r>
        <w:t xml:space="preserve"> </w:t>
      </w:r>
      <w:r w:rsidRPr="007D682C">
        <w:t>They do, however, serve as a useful means of establishing differences between molecules</w:t>
      </w:r>
      <w:r>
        <w:t>.</w:t>
      </w:r>
      <w:r w:rsidRPr="007D682C">
        <w:t xml:space="preserve"> </w:t>
      </w:r>
      <w:r>
        <w:t xml:space="preserve">Defining the domain using </w:t>
      </w:r>
      <w:proofErr w:type="spellStart"/>
      <w:r>
        <w:t>toxicodynamics</w:t>
      </w:r>
      <w:proofErr w:type="spellEnd"/>
      <w:r>
        <w:t xml:space="preserve"> or </w:t>
      </w:r>
      <w:proofErr w:type="spellStart"/>
      <w:r>
        <w:t>toxicokinetics</w:t>
      </w:r>
      <w:proofErr w:type="spellEnd"/>
      <w:r>
        <w:t xml:space="preserve"> is associated with a higher level of complexity and it is generally more difficult to assign chemicals to a domain using this type of information</w:t>
      </w:r>
      <w:r w:rsidR="00613A64">
        <w:t>, particularly where qualitative descriptions are given, such as “rapid” absorption</w:t>
      </w:r>
      <w:r>
        <w:t>.</w:t>
      </w:r>
      <w:r w:rsidR="00613A64">
        <w:t xml:space="preserve"> </w:t>
      </w:r>
      <w:r w:rsidRPr="007D682C">
        <w:t xml:space="preserve">Thus, it is inevitable that the domain </w:t>
      </w:r>
      <w:r w:rsidR="00613A64">
        <w:t>cannot</w:t>
      </w:r>
      <w:r w:rsidRPr="007D682C">
        <w:t xml:space="preserve"> be described quantitatively </w:t>
      </w:r>
      <w:r w:rsidR="00613A64">
        <w:t>for</w:t>
      </w:r>
      <w:r w:rsidRPr="007D682C">
        <w:t xml:space="preserve"> a proportion of the criteria, making overtly parametric approaches to describe </w:t>
      </w:r>
      <w:r w:rsidR="00613A64">
        <w:t>the domain</w:t>
      </w:r>
      <w:r w:rsidRPr="007D682C">
        <w:t xml:space="preserve"> difficult to apply.</w:t>
      </w:r>
      <w:r>
        <w:t xml:space="preserve"> </w:t>
      </w:r>
    </w:p>
    <w:p w14:paraId="24AAD57E" w14:textId="69C57859" w:rsidR="00EB1627" w:rsidRDefault="00EB1627" w:rsidP="00154DC3">
      <w:pPr>
        <w:spacing w:after="120" w:line="480" w:lineRule="auto"/>
        <w:jc w:val="both"/>
      </w:pPr>
    </w:p>
    <w:p w14:paraId="4F1FB2B2" w14:textId="77777777" w:rsidR="00EB1627" w:rsidRDefault="00EB1627" w:rsidP="00154DC3">
      <w:pPr>
        <w:spacing w:after="120" w:line="480" w:lineRule="auto"/>
        <w:jc w:val="both"/>
        <w:sectPr w:rsidR="00EB1627" w:rsidSect="00B640AC">
          <w:type w:val="nextColumn"/>
          <w:pgSz w:w="11906" w:h="16838"/>
          <w:pgMar w:top="1440" w:right="1440" w:bottom="1440" w:left="1440" w:header="709" w:footer="709" w:gutter="0"/>
          <w:lnNumType w:countBy="1" w:restart="continuous"/>
          <w:cols w:space="708"/>
          <w:docGrid w:linePitch="360"/>
        </w:sectPr>
      </w:pPr>
    </w:p>
    <w:p w14:paraId="09C284D4" w14:textId="77777777" w:rsidR="0075637E" w:rsidRDefault="0075637E" w:rsidP="00A83AB4">
      <w:pPr>
        <w:spacing w:after="120" w:line="480" w:lineRule="auto"/>
      </w:pPr>
      <w:r>
        <w:t xml:space="preserve">Table 2. Features of the key applicability domain criteria including metrics and typical information, as well as how to determine whether compounds are within our outside of the domain </w:t>
      </w:r>
    </w:p>
    <w:tbl>
      <w:tblPr>
        <w:tblStyle w:val="TableGrid"/>
        <w:tblW w:w="14596" w:type="dxa"/>
        <w:tblBorders>
          <w:insideV w:val="single" w:sz="18" w:space="0" w:color="auto"/>
        </w:tblBorders>
        <w:tblLook w:val="04A0" w:firstRow="1" w:lastRow="0" w:firstColumn="1" w:lastColumn="0" w:noHBand="0" w:noVBand="1"/>
      </w:tblPr>
      <w:tblGrid>
        <w:gridCol w:w="2263"/>
        <w:gridCol w:w="2835"/>
        <w:gridCol w:w="2268"/>
        <w:gridCol w:w="4253"/>
        <w:gridCol w:w="2977"/>
      </w:tblGrid>
      <w:tr w:rsidR="0075637E" w:rsidRPr="008A5159" w14:paraId="4E3329BD" w14:textId="77777777" w:rsidTr="00A83AB4">
        <w:tc>
          <w:tcPr>
            <w:tcW w:w="2263" w:type="dxa"/>
            <w:shd w:val="clear" w:color="auto" w:fill="auto"/>
          </w:tcPr>
          <w:p w14:paraId="066E7766" w14:textId="77777777" w:rsidR="0075637E" w:rsidRPr="00EC1AD8" w:rsidRDefault="0075637E" w:rsidP="00A83AB4">
            <w:pPr>
              <w:spacing w:after="120" w:line="480" w:lineRule="auto"/>
              <w:rPr>
                <w:b/>
                <w:bCs/>
              </w:rPr>
            </w:pPr>
            <w:r w:rsidRPr="00EC1AD8">
              <w:rPr>
                <w:b/>
                <w:bCs/>
              </w:rPr>
              <w:t xml:space="preserve">Metric </w:t>
            </w:r>
          </w:p>
          <w:p w14:paraId="56E72CA1" w14:textId="77777777" w:rsidR="0075637E" w:rsidRPr="00EC1AD8" w:rsidRDefault="0075637E" w:rsidP="00A83AB4">
            <w:pPr>
              <w:spacing w:after="120" w:line="480" w:lineRule="auto"/>
              <w:rPr>
                <w:b/>
                <w:bCs/>
              </w:rPr>
            </w:pPr>
          </w:p>
        </w:tc>
        <w:tc>
          <w:tcPr>
            <w:tcW w:w="2835" w:type="dxa"/>
            <w:shd w:val="clear" w:color="auto" w:fill="auto"/>
          </w:tcPr>
          <w:p w14:paraId="7DA7F0E4" w14:textId="77777777" w:rsidR="0075637E" w:rsidRPr="00EC1AD8" w:rsidRDefault="0075637E" w:rsidP="00A83AB4">
            <w:pPr>
              <w:spacing w:after="120" w:line="480" w:lineRule="auto"/>
              <w:rPr>
                <w:b/>
                <w:bCs/>
              </w:rPr>
            </w:pPr>
            <w:r w:rsidRPr="00EC1AD8">
              <w:rPr>
                <w:b/>
                <w:bCs/>
              </w:rPr>
              <w:t xml:space="preserve">Type of information / examples </w:t>
            </w:r>
          </w:p>
          <w:p w14:paraId="2ED15F9A" w14:textId="77777777" w:rsidR="0075637E" w:rsidRPr="00EC1AD8" w:rsidRDefault="0075637E" w:rsidP="00A83AB4">
            <w:pPr>
              <w:spacing w:after="120" w:line="480" w:lineRule="auto"/>
              <w:rPr>
                <w:b/>
                <w:bCs/>
              </w:rPr>
            </w:pPr>
          </w:p>
        </w:tc>
        <w:tc>
          <w:tcPr>
            <w:tcW w:w="2268" w:type="dxa"/>
            <w:shd w:val="clear" w:color="auto" w:fill="auto"/>
          </w:tcPr>
          <w:p w14:paraId="314D6BB1" w14:textId="77777777" w:rsidR="0075637E" w:rsidRPr="00F92C9C" w:rsidRDefault="0075637E" w:rsidP="00A83AB4">
            <w:pPr>
              <w:spacing w:after="120" w:line="480" w:lineRule="auto"/>
              <w:rPr>
                <w:b/>
                <w:bCs/>
              </w:rPr>
            </w:pPr>
            <w:r>
              <w:rPr>
                <w:b/>
                <w:bCs/>
              </w:rPr>
              <w:t>Ease of a</w:t>
            </w:r>
            <w:r w:rsidRPr="00F92C9C">
              <w:rPr>
                <w:b/>
                <w:bCs/>
              </w:rPr>
              <w:t>ssign</w:t>
            </w:r>
            <w:r>
              <w:rPr>
                <w:b/>
                <w:bCs/>
              </w:rPr>
              <w:t>ing</w:t>
            </w:r>
            <w:r w:rsidRPr="00F92C9C">
              <w:rPr>
                <w:b/>
                <w:bCs/>
              </w:rPr>
              <w:t xml:space="preserve"> to domain?</w:t>
            </w:r>
          </w:p>
        </w:tc>
        <w:tc>
          <w:tcPr>
            <w:tcW w:w="4253" w:type="dxa"/>
            <w:shd w:val="clear" w:color="auto" w:fill="auto"/>
          </w:tcPr>
          <w:p w14:paraId="0229297D" w14:textId="77777777" w:rsidR="0075637E" w:rsidRPr="00F92C9C" w:rsidRDefault="0075637E" w:rsidP="00A83AB4">
            <w:pPr>
              <w:spacing w:after="120" w:line="480" w:lineRule="auto"/>
              <w:rPr>
                <w:b/>
                <w:bCs/>
              </w:rPr>
            </w:pPr>
            <w:r w:rsidRPr="00F92C9C">
              <w:rPr>
                <w:b/>
                <w:bCs/>
              </w:rPr>
              <w:t>Defining the domain and assessing whether compounds are in or out of domain</w:t>
            </w:r>
          </w:p>
        </w:tc>
        <w:tc>
          <w:tcPr>
            <w:tcW w:w="2977" w:type="dxa"/>
            <w:shd w:val="clear" w:color="auto" w:fill="auto"/>
          </w:tcPr>
          <w:p w14:paraId="00295F21" w14:textId="77777777" w:rsidR="0075637E" w:rsidRPr="00F92C9C" w:rsidRDefault="0075637E" w:rsidP="00A83AB4">
            <w:pPr>
              <w:spacing w:after="120" w:line="480" w:lineRule="auto"/>
              <w:rPr>
                <w:b/>
                <w:bCs/>
              </w:rPr>
            </w:pPr>
            <w:r w:rsidRPr="00F92C9C">
              <w:rPr>
                <w:b/>
                <w:bCs/>
              </w:rPr>
              <w:t>Comments</w:t>
            </w:r>
          </w:p>
        </w:tc>
      </w:tr>
      <w:tr w:rsidR="0075637E" w:rsidRPr="008A5159" w14:paraId="6349494C" w14:textId="77777777" w:rsidTr="00A83AB4">
        <w:tc>
          <w:tcPr>
            <w:tcW w:w="14596" w:type="dxa"/>
            <w:gridSpan w:val="5"/>
            <w:shd w:val="clear" w:color="auto" w:fill="auto"/>
          </w:tcPr>
          <w:p w14:paraId="2A4CE711" w14:textId="77777777" w:rsidR="0075637E" w:rsidRPr="00F92C9C" w:rsidRDefault="0075637E" w:rsidP="00A83AB4">
            <w:pPr>
              <w:spacing w:after="120" w:line="480" w:lineRule="auto"/>
              <w:rPr>
                <w:b/>
                <w:bCs/>
              </w:rPr>
            </w:pPr>
          </w:p>
        </w:tc>
      </w:tr>
      <w:tr w:rsidR="0075637E" w:rsidRPr="008A5159" w14:paraId="5AC7771F" w14:textId="77777777" w:rsidTr="00A83AB4">
        <w:tc>
          <w:tcPr>
            <w:tcW w:w="14596" w:type="dxa"/>
            <w:gridSpan w:val="5"/>
            <w:shd w:val="clear" w:color="auto" w:fill="auto"/>
          </w:tcPr>
          <w:p w14:paraId="1BD523B4" w14:textId="77777777" w:rsidR="0075637E" w:rsidRPr="00F92C9C" w:rsidRDefault="0075637E" w:rsidP="00A83AB4">
            <w:pPr>
              <w:spacing w:after="120" w:line="480" w:lineRule="auto"/>
              <w:jc w:val="center"/>
              <w:rPr>
                <w:b/>
                <w:bCs/>
              </w:rPr>
            </w:pPr>
            <w:r w:rsidRPr="00F92C9C">
              <w:rPr>
                <w:b/>
                <w:bCs/>
              </w:rPr>
              <w:t>Chemistry</w:t>
            </w:r>
          </w:p>
        </w:tc>
      </w:tr>
      <w:tr w:rsidR="0075637E" w:rsidRPr="008A5159" w14:paraId="7A9EE701" w14:textId="77777777" w:rsidTr="00A83AB4">
        <w:tc>
          <w:tcPr>
            <w:tcW w:w="14596" w:type="dxa"/>
            <w:gridSpan w:val="5"/>
            <w:shd w:val="clear" w:color="auto" w:fill="auto"/>
          </w:tcPr>
          <w:p w14:paraId="15B923CB" w14:textId="77777777" w:rsidR="0075637E" w:rsidRPr="00F92C9C" w:rsidRDefault="0075637E" w:rsidP="00A83AB4">
            <w:pPr>
              <w:spacing w:after="120" w:line="480" w:lineRule="auto"/>
              <w:jc w:val="center"/>
              <w:rPr>
                <w:b/>
                <w:bCs/>
              </w:rPr>
            </w:pPr>
          </w:p>
        </w:tc>
      </w:tr>
      <w:tr w:rsidR="0075637E" w:rsidRPr="008A5159" w14:paraId="1342BEFA" w14:textId="77777777" w:rsidTr="00A83AB4">
        <w:tc>
          <w:tcPr>
            <w:tcW w:w="2263" w:type="dxa"/>
            <w:shd w:val="clear" w:color="auto" w:fill="auto"/>
          </w:tcPr>
          <w:p w14:paraId="3131CC16" w14:textId="77777777" w:rsidR="0075637E" w:rsidRPr="00F92C9C" w:rsidRDefault="0075637E" w:rsidP="00A83AB4">
            <w:pPr>
              <w:spacing w:after="120" w:line="480" w:lineRule="auto"/>
              <w:rPr>
                <w:b/>
                <w:bCs/>
              </w:rPr>
            </w:pPr>
            <w:r w:rsidRPr="00F92C9C">
              <w:rPr>
                <w:b/>
                <w:bCs/>
              </w:rPr>
              <w:t xml:space="preserve">Chemical substructure / fragment(s) </w:t>
            </w:r>
          </w:p>
          <w:p w14:paraId="5E6F2A14" w14:textId="77777777" w:rsidR="0075637E" w:rsidRPr="00F92C9C" w:rsidRDefault="0075637E" w:rsidP="00A83AB4">
            <w:pPr>
              <w:spacing w:after="120" w:line="480" w:lineRule="auto"/>
            </w:pPr>
          </w:p>
        </w:tc>
        <w:tc>
          <w:tcPr>
            <w:tcW w:w="2835" w:type="dxa"/>
            <w:shd w:val="clear" w:color="auto" w:fill="auto"/>
          </w:tcPr>
          <w:p w14:paraId="69AE230B" w14:textId="77777777" w:rsidR="0075637E" w:rsidRPr="00EC1AD8" w:rsidRDefault="0075637E" w:rsidP="00A83AB4">
            <w:pPr>
              <w:spacing w:after="120" w:line="480" w:lineRule="auto"/>
            </w:pPr>
            <w:r w:rsidRPr="00EC1AD8">
              <w:t xml:space="preserve">Presence, absence or analysis of differences in fragments </w:t>
            </w:r>
          </w:p>
          <w:p w14:paraId="58835EC5" w14:textId="77777777" w:rsidR="0075637E" w:rsidRPr="00EC1AD8" w:rsidRDefault="0075637E" w:rsidP="00A83AB4">
            <w:pPr>
              <w:spacing w:after="120" w:line="480" w:lineRule="auto"/>
            </w:pPr>
            <w:r w:rsidRPr="00EC1AD8">
              <w:t>e.g. analogue(s) or member of mechanistic domain.</w:t>
            </w:r>
          </w:p>
          <w:p w14:paraId="42D79C7C" w14:textId="77777777" w:rsidR="0075637E" w:rsidRPr="00F92C9C" w:rsidRDefault="0075637E" w:rsidP="00A83AB4">
            <w:pPr>
              <w:spacing w:after="120" w:line="480" w:lineRule="auto"/>
            </w:pPr>
          </w:p>
        </w:tc>
        <w:tc>
          <w:tcPr>
            <w:tcW w:w="2268" w:type="dxa"/>
            <w:shd w:val="clear" w:color="auto" w:fill="auto"/>
          </w:tcPr>
          <w:p w14:paraId="649B109E" w14:textId="77777777" w:rsidR="0075637E" w:rsidRPr="00F92C9C" w:rsidRDefault="0075637E" w:rsidP="00A83AB4">
            <w:pPr>
              <w:spacing w:after="120" w:line="480" w:lineRule="auto"/>
            </w:pPr>
            <w:r w:rsidRPr="00F92C9C">
              <w:t>Readily assignable - indicated by presence or absence of functional groups or molecular substructures</w:t>
            </w:r>
          </w:p>
        </w:tc>
        <w:tc>
          <w:tcPr>
            <w:tcW w:w="4253" w:type="dxa"/>
            <w:shd w:val="clear" w:color="auto" w:fill="auto"/>
          </w:tcPr>
          <w:p w14:paraId="2BD979DB" w14:textId="77777777" w:rsidR="0075637E" w:rsidRPr="00F92C9C" w:rsidRDefault="0075637E" w:rsidP="00A83AB4">
            <w:pPr>
              <w:spacing w:after="120" w:line="480" w:lineRule="auto"/>
            </w:pPr>
            <w:r w:rsidRPr="00F92C9C">
              <w:t>Define key structural fragments of target and source molecule(s):</w:t>
            </w:r>
          </w:p>
          <w:p w14:paraId="51249515" w14:textId="77777777" w:rsidR="0075637E" w:rsidRPr="00F92C9C" w:rsidRDefault="0075637E" w:rsidP="00A83AB4">
            <w:pPr>
              <w:spacing w:after="120" w:line="480" w:lineRule="auto"/>
            </w:pPr>
            <w:r w:rsidRPr="00F92C9C">
              <w:t>Where differences in key fragments exist between source and target, determine whether these may potentially impact toxicity.</w:t>
            </w:r>
          </w:p>
        </w:tc>
        <w:tc>
          <w:tcPr>
            <w:tcW w:w="2977" w:type="dxa"/>
            <w:shd w:val="clear" w:color="auto" w:fill="auto"/>
          </w:tcPr>
          <w:p w14:paraId="03782E42" w14:textId="77777777" w:rsidR="0075637E" w:rsidRPr="00F92C9C" w:rsidRDefault="0075637E" w:rsidP="00A83AB4">
            <w:pPr>
              <w:spacing w:after="120" w:line="480" w:lineRule="auto"/>
            </w:pPr>
            <w:r w:rsidRPr="00F92C9C">
              <w:t>May not be defined for mixtures / UVCBs</w:t>
            </w:r>
          </w:p>
          <w:p w14:paraId="34935578" w14:textId="77777777" w:rsidR="0075637E" w:rsidRPr="00F92C9C" w:rsidRDefault="0075637E" w:rsidP="00A83AB4">
            <w:pPr>
              <w:spacing w:after="120" w:line="480" w:lineRule="auto"/>
            </w:pPr>
            <w:r w:rsidRPr="00F92C9C">
              <w:t xml:space="preserve">Effect of additional fragments may need to be investigated with e.g. </w:t>
            </w:r>
            <w:r w:rsidRPr="00F92C9C">
              <w:rPr>
                <w:i/>
                <w:iCs/>
              </w:rPr>
              <w:t>in silico</w:t>
            </w:r>
            <w:r w:rsidRPr="00F92C9C">
              <w:t xml:space="preserve"> profilers, NAM data, etc</w:t>
            </w:r>
          </w:p>
        </w:tc>
      </w:tr>
      <w:tr w:rsidR="0075637E" w:rsidRPr="008A5159" w14:paraId="5D8B9B59" w14:textId="77777777" w:rsidTr="00A83AB4">
        <w:tc>
          <w:tcPr>
            <w:tcW w:w="2263" w:type="dxa"/>
            <w:shd w:val="clear" w:color="auto" w:fill="auto"/>
          </w:tcPr>
          <w:p w14:paraId="02A54342" w14:textId="77777777" w:rsidR="0075637E" w:rsidRPr="00F92C9C" w:rsidRDefault="0075637E" w:rsidP="00A83AB4">
            <w:pPr>
              <w:spacing w:after="120" w:line="480" w:lineRule="auto"/>
              <w:rPr>
                <w:b/>
                <w:bCs/>
              </w:rPr>
            </w:pPr>
            <w:r w:rsidRPr="00F92C9C">
              <w:rPr>
                <w:b/>
                <w:bCs/>
              </w:rPr>
              <w:t xml:space="preserve">Molecular similarity </w:t>
            </w:r>
          </w:p>
          <w:p w14:paraId="1911E491" w14:textId="77777777" w:rsidR="0075637E" w:rsidRPr="00F92C9C" w:rsidRDefault="0075637E" w:rsidP="00A83AB4">
            <w:pPr>
              <w:spacing w:after="120" w:line="480" w:lineRule="auto"/>
              <w:rPr>
                <w:i/>
                <w:iCs/>
              </w:rPr>
            </w:pPr>
          </w:p>
        </w:tc>
        <w:tc>
          <w:tcPr>
            <w:tcW w:w="2835" w:type="dxa"/>
            <w:shd w:val="clear" w:color="auto" w:fill="auto"/>
          </w:tcPr>
          <w:p w14:paraId="5E7A3AE2" w14:textId="77777777" w:rsidR="0075637E" w:rsidRPr="00EC1AD8" w:rsidRDefault="0075637E" w:rsidP="00A83AB4">
            <w:pPr>
              <w:spacing w:after="120" w:line="480" w:lineRule="auto"/>
            </w:pPr>
            <w:r w:rsidRPr="00EC1AD8">
              <w:t xml:space="preserve">Comparison of fingerprint(s) using a suitable metric (e.g. </w:t>
            </w:r>
            <w:proofErr w:type="spellStart"/>
            <w:r w:rsidRPr="00EC1AD8">
              <w:t>Tanimoto</w:t>
            </w:r>
            <w:proofErr w:type="spellEnd"/>
            <w:r w:rsidRPr="00EC1AD8">
              <w:t>, Dice coefficient)</w:t>
            </w:r>
          </w:p>
        </w:tc>
        <w:tc>
          <w:tcPr>
            <w:tcW w:w="2268" w:type="dxa"/>
            <w:shd w:val="clear" w:color="auto" w:fill="auto"/>
          </w:tcPr>
          <w:p w14:paraId="1231E764" w14:textId="77777777" w:rsidR="0075637E" w:rsidRPr="00F92C9C" w:rsidRDefault="0075637E" w:rsidP="00A83AB4">
            <w:pPr>
              <w:spacing w:after="120" w:line="480" w:lineRule="auto"/>
            </w:pPr>
            <w:r w:rsidRPr="00F92C9C">
              <w:t>Readily assignable - determined by value of similarity metric</w:t>
            </w:r>
          </w:p>
        </w:tc>
        <w:tc>
          <w:tcPr>
            <w:tcW w:w="4253" w:type="dxa"/>
            <w:shd w:val="clear" w:color="auto" w:fill="auto"/>
          </w:tcPr>
          <w:p w14:paraId="1F86A166" w14:textId="77777777" w:rsidR="0075637E" w:rsidRPr="00F92C9C" w:rsidRDefault="0075637E" w:rsidP="00A83AB4">
            <w:pPr>
              <w:spacing w:after="120" w:line="480" w:lineRule="auto"/>
            </w:pPr>
            <w:r w:rsidRPr="00F92C9C">
              <w:t>Calculate score using chosen similarity metric(s):</w:t>
            </w:r>
          </w:p>
          <w:p w14:paraId="0AEA9721" w14:textId="77777777" w:rsidR="0075637E" w:rsidRPr="00F92C9C" w:rsidRDefault="0075637E" w:rsidP="00A83AB4">
            <w:pPr>
              <w:spacing w:after="120" w:line="480" w:lineRule="auto"/>
            </w:pPr>
            <w:r w:rsidRPr="00F92C9C">
              <w:t>Higher scores within domain, lower scores out of domain – a cut-off value can be arbitrarily determined</w:t>
            </w:r>
          </w:p>
          <w:p w14:paraId="64B494FE" w14:textId="77777777" w:rsidR="0075637E" w:rsidRPr="00F92C9C" w:rsidRDefault="0075637E" w:rsidP="00A83AB4">
            <w:pPr>
              <w:spacing w:after="120" w:line="480" w:lineRule="auto"/>
            </w:pPr>
          </w:p>
        </w:tc>
        <w:tc>
          <w:tcPr>
            <w:tcW w:w="2977" w:type="dxa"/>
            <w:shd w:val="clear" w:color="auto" w:fill="auto"/>
          </w:tcPr>
          <w:p w14:paraId="7EC4C377" w14:textId="77777777" w:rsidR="0075637E" w:rsidRPr="00F92C9C" w:rsidRDefault="0075637E" w:rsidP="00A83AB4">
            <w:pPr>
              <w:spacing w:after="120" w:line="480" w:lineRule="auto"/>
            </w:pPr>
            <w:r w:rsidRPr="00F92C9C">
              <w:t>Scores should not be used in isolation as they are relative to the fingerprint and metric – may show consistency within a defined group.</w:t>
            </w:r>
          </w:p>
        </w:tc>
      </w:tr>
      <w:tr w:rsidR="0075637E" w:rsidRPr="008A5159" w14:paraId="406778D3" w14:textId="77777777" w:rsidTr="00A83AB4">
        <w:tc>
          <w:tcPr>
            <w:tcW w:w="2263" w:type="dxa"/>
            <w:shd w:val="clear" w:color="auto" w:fill="auto"/>
          </w:tcPr>
          <w:p w14:paraId="4FD38D8F" w14:textId="77777777" w:rsidR="0075637E" w:rsidRPr="00F92C9C" w:rsidRDefault="0075637E" w:rsidP="00A83AB4">
            <w:pPr>
              <w:spacing w:after="120" w:line="480" w:lineRule="auto"/>
              <w:rPr>
                <w:b/>
                <w:bCs/>
              </w:rPr>
            </w:pPr>
            <w:proofErr w:type="spellStart"/>
            <w:r w:rsidRPr="00F92C9C">
              <w:rPr>
                <w:b/>
                <w:bCs/>
              </w:rPr>
              <w:t>Physico</w:t>
            </w:r>
            <w:proofErr w:type="spellEnd"/>
            <w:r w:rsidRPr="00F92C9C">
              <w:rPr>
                <w:b/>
                <w:bCs/>
              </w:rPr>
              <w:t>-chemical properties</w:t>
            </w:r>
          </w:p>
          <w:p w14:paraId="01EA73D4" w14:textId="77777777" w:rsidR="0075637E" w:rsidRPr="00F92C9C" w:rsidRDefault="0075637E" w:rsidP="00A83AB4">
            <w:pPr>
              <w:spacing w:after="120" w:line="480" w:lineRule="auto"/>
              <w:rPr>
                <w:b/>
                <w:bCs/>
              </w:rPr>
            </w:pPr>
          </w:p>
          <w:p w14:paraId="1A6A4D6E" w14:textId="77777777" w:rsidR="0075637E" w:rsidRPr="00F92C9C" w:rsidRDefault="0075637E" w:rsidP="00A83AB4">
            <w:pPr>
              <w:spacing w:after="120" w:line="480" w:lineRule="auto"/>
              <w:rPr>
                <w:b/>
                <w:bCs/>
              </w:rPr>
            </w:pPr>
          </w:p>
          <w:p w14:paraId="7B293E64" w14:textId="77777777" w:rsidR="0075637E" w:rsidRPr="00F92C9C" w:rsidRDefault="0075637E" w:rsidP="00A83AB4">
            <w:pPr>
              <w:spacing w:after="120" w:line="480" w:lineRule="auto"/>
              <w:rPr>
                <w:b/>
                <w:bCs/>
              </w:rPr>
            </w:pPr>
          </w:p>
        </w:tc>
        <w:tc>
          <w:tcPr>
            <w:tcW w:w="2835" w:type="dxa"/>
            <w:shd w:val="clear" w:color="auto" w:fill="auto"/>
          </w:tcPr>
          <w:p w14:paraId="784B7377" w14:textId="77777777" w:rsidR="0075637E" w:rsidRPr="00F92C9C" w:rsidRDefault="0075637E" w:rsidP="00A83AB4">
            <w:pPr>
              <w:spacing w:after="120" w:line="480" w:lineRule="auto"/>
              <w:rPr>
                <w:b/>
                <w:bCs/>
              </w:rPr>
            </w:pPr>
            <w:r w:rsidRPr="00F92C9C">
              <w:t>Log P, boiling point, aqueous solubility, vapour pressure etc.</w:t>
            </w:r>
          </w:p>
          <w:p w14:paraId="0199A73A" w14:textId="77777777" w:rsidR="0075637E" w:rsidRPr="00F92C9C" w:rsidRDefault="0075637E" w:rsidP="00A83AB4">
            <w:pPr>
              <w:spacing w:after="120" w:line="480" w:lineRule="auto"/>
            </w:pPr>
          </w:p>
        </w:tc>
        <w:tc>
          <w:tcPr>
            <w:tcW w:w="2268" w:type="dxa"/>
            <w:shd w:val="clear" w:color="auto" w:fill="auto"/>
          </w:tcPr>
          <w:p w14:paraId="7EB10D72" w14:textId="77777777" w:rsidR="0075637E" w:rsidRPr="00F92C9C" w:rsidRDefault="0075637E" w:rsidP="00A83AB4">
            <w:pPr>
              <w:spacing w:after="120" w:line="480" w:lineRule="auto"/>
            </w:pPr>
            <w:r w:rsidRPr="00F92C9C">
              <w:t>Readily assignable - If experimental data are available or property is readily calculable</w:t>
            </w:r>
          </w:p>
        </w:tc>
        <w:tc>
          <w:tcPr>
            <w:tcW w:w="4253" w:type="dxa"/>
            <w:shd w:val="clear" w:color="auto" w:fill="auto"/>
          </w:tcPr>
          <w:p w14:paraId="695DC327" w14:textId="77777777" w:rsidR="0075637E" w:rsidRPr="00F92C9C" w:rsidRDefault="0075637E" w:rsidP="00A83AB4">
            <w:pPr>
              <w:spacing w:after="120" w:line="480" w:lineRule="auto"/>
            </w:pPr>
            <w:r w:rsidRPr="00F92C9C">
              <w:t>Obtain experimental value or calculate property using a suitable method:</w:t>
            </w:r>
          </w:p>
          <w:p w14:paraId="4D149465" w14:textId="77777777" w:rsidR="0075637E" w:rsidRPr="00F92C9C" w:rsidRDefault="0075637E" w:rsidP="00A83AB4">
            <w:pPr>
              <w:spacing w:after="120" w:line="480" w:lineRule="auto"/>
            </w:pPr>
            <w:r w:rsidRPr="00F92C9C">
              <w:t xml:space="preserve">Consider the magnitude in difference between target and source relative to: the range of the property; experimental variability and; context of application. For example: log P within 1 log unit; aqueous solubility within 1.5 log units; vapour pressure within 2 log units or M </w:t>
            </w:r>
            <w:proofErr w:type="spellStart"/>
            <w:r w:rsidRPr="00F92C9C">
              <w:t>wt</w:t>
            </w:r>
            <w:proofErr w:type="spellEnd"/>
            <w:r w:rsidRPr="00F92C9C">
              <w:t>/boiling point/vapour pressure to be within “X” Da/</w:t>
            </w:r>
            <w:proofErr w:type="spellStart"/>
            <w:r w:rsidRPr="00F92C9C">
              <w:rPr>
                <w:vertAlign w:val="superscript"/>
              </w:rPr>
              <w:t>o</w:t>
            </w:r>
            <w:r w:rsidRPr="00F92C9C">
              <w:t>C</w:t>
            </w:r>
            <w:proofErr w:type="spellEnd"/>
            <w:r w:rsidRPr="00F92C9C">
              <w:t>/mmHg of target respectively (where “X” is proportional to the magnitude of the value for the target).</w:t>
            </w:r>
          </w:p>
        </w:tc>
        <w:tc>
          <w:tcPr>
            <w:tcW w:w="2977" w:type="dxa"/>
            <w:shd w:val="clear" w:color="auto" w:fill="auto"/>
          </w:tcPr>
          <w:p w14:paraId="298DCFBE" w14:textId="77777777" w:rsidR="0075637E" w:rsidRPr="00F92C9C" w:rsidRDefault="0075637E" w:rsidP="00A83AB4">
            <w:pPr>
              <w:spacing w:after="120" w:line="480" w:lineRule="auto"/>
            </w:pPr>
            <w:r w:rsidRPr="00F92C9C">
              <w:t>Consider appropriateness experimental versus calculated values; boundary of domain determined by property range, variability and context</w:t>
            </w:r>
          </w:p>
        </w:tc>
      </w:tr>
      <w:tr w:rsidR="0075637E" w:rsidRPr="008A5159" w14:paraId="11F7D76C" w14:textId="77777777" w:rsidTr="00A83AB4">
        <w:tc>
          <w:tcPr>
            <w:tcW w:w="14596" w:type="dxa"/>
            <w:gridSpan w:val="5"/>
            <w:shd w:val="clear" w:color="auto" w:fill="auto"/>
          </w:tcPr>
          <w:p w14:paraId="5C931775" w14:textId="3A6D3E9B" w:rsidR="0075637E" w:rsidRPr="00F92C9C" w:rsidRDefault="0075637E" w:rsidP="00A83AB4">
            <w:pPr>
              <w:spacing w:after="120" w:line="480" w:lineRule="auto"/>
              <w:jc w:val="center"/>
            </w:pPr>
          </w:p>
        </w:tc>
      </w:tr>
      <w:tr w:rsidR="0052718A" w:rsidRPr="008A5159" w14:paraId="219792FB" w14:textId="77777777" w:rsidTr="00A83AB4">
        <w:tc>
          <w:tcPr>
            <w:tcW w:w="14596" w:type="dxa"/>
            <w:gridSpan w:val="5"/>
            <w:shd w:val="clear" w:color="auto" w:fill="auto"/>
          </w:tcPr>
          <w:p w14:paraId="7611BD49" w14:textId="690E2230" w:rsidR="0052718A" w:rsidRPr="00F92C9C" w:rsidRDefault="0052718A" w:rsidP="00A83AB4">
            <w:pPr>
              <w:spacing w:after="120" w:line="480" w:lineRule="auto"/>
              <w:jc w:val="center"/>
              <w:rPr>
                <w:b/>
                <w:bCs/>
              </w:rPr>
            </w:pPr>
            <w:proofErr w:type="spellStart"/>
            <w:r w:rsidRPr="00F92C9C">
              <w:rPr>
                <w:b/>
                <w:bCs/>
              </w:rPr>
              <w:t>Toxicodynamics</w:t>
            </w:r>
            <w:proofErr w:type="spellEnd"/>
          </w:p>
        </w:tc>
      </w:tr>
      <w:tr w:rsidR="0052718A" w:rsidRPr="008A5159" w14:paraId="08E37C9C" w14:textId="77777777" w:rsidTr="00A83AB4">
        <w:tc>
          <w:tcPr>
            <w:tcW w:w="14596" w:type="dxa"/>
            <w:gridSpan w:val="5"/>
            <w:shd w:val="clear" w:color="auto" w:fill="auto"/>
          </w:tcPr>
          <w:p w14:paraId="50A945B1" w14:textId="77777777" w:rsidR="0052718A" w:rsidRPr="00F92C9C" w:rsidRDefault="0052718A" w:rsidP="00A83AB4">
            <w:pPr>
              <w:spacing w:after="120" w:line="480" w:lineRule="auto"/>
              <w:jc w:val="center"/>
              <w:rPr>
                <w:b/>
                <w:bCs/>
              </w:rPr>
            </w:pPr>
          </w:p>
        </w:tc>
      </w:tr>
      <w:tr w:rsidR="0075637E" w:rsidRPr="008A5159" w14:paraId="0328BE3F" w14:textId="77777777" w:rsidTr="00A83AB4">
        <w:tc>
          <w:tcPr>
            <w:tcW w:w="2263" w:type="dxa"/>
            <w:shd w:val="clear" w:color="auto" w:fill="auto"/>
          </w:tcPr>
          <w:p w14:paraId="6C0FFDA2" w14:textId="77777777" w:rsidR="0075637E" w:rsidRPr="00EC1AD8" w:rsidRDefault="0075637E" w:rsidP="00A83AB4">
            <w:pPr>
              <w:spacing w:after="120" w:line="480" w:lineRule="auto"/>
              <w:rPr>
                <w:b/>
                <w:bCs/>
              </w:rPr>
            </w:pPr>
            <w:r w:rsidRPr="00EC1AD8">
              <w:rPr>
                <w:b/>
                <w:bCs/>
              </w:rPr>
              <w:t>Toxicology: Existing toxicity data</w:t>
            </w:r>
          </w:p>
          <w:p w14:paraId="3C8220EB" w14:textId="77777777" w:rsidR="0075637E" w:rsidRPr="00EC1AD8" w:rsidRDefault="0075637E" w:rsidP="00A83AB4">
            <w:pPr>
              <w:spacing w:after="120" w:line="480" w:lineRule="auto"/>
            </w:pPr>
          </w:p>
        </w:tc>
        <w:tc>
          <w:tcPr>
            <w:tcW w:w="2835" w:type="dxa"/>
            <w:shd w:val="clear" w:color="auto" w:fill="auto"/>
          </w:tcPr>
          <w:p w14:paraId="6735B4F4" w14:textId="77777777" w:rsidR="0075637E" w:rsidRPr="00EC1AD8" w:rsidRDefault="0075637E" w:rsidP="00A83AB4">
            <w:pPr>
              <w:spacing w:after="120" w:line="480" w:lineRule="auto"/>
            </w:pPr>
            <w:r w:rsidRPr="00EC1AD8">
              <w:t>Toxicity data for the endpoint to read-across (for the source molecule); other information for both target and source e.g. data for analogous / associated endpoints; data from non-standard assays (</w:t>
            </w:r>
            <w:proofErr w:type="spellStart"/>
            <w:r w:rsidRPr="00EC1AD8">
              <w:t>e.g</w:t>
            </w:r>
            <w:proofErr w:type="spellEnd"/>
            <w:r w:rsidRPr="00EC1AD8">
              <w:t xml:space="preserve"> not performed to Test Guideline); output from in silico studies (e.g. predictions from QSARs or software such as QSAR Toolbox, </w:t>
            </w:r>
            <w:proofErr w:type="spellStart"/>
            <w:r w:rsidRPr="00EC1AD8">
              <w:t>Toxtree</w:t>
            </w:r>
            <w:proofErr w:type="spellEnd"/>
            <w:r w:rsidRPr="00EC1AD8">
              <w:t xml:space="preserve"> etc).</w:t>
            </w:r>
          </w:p>
          <w:p w14:paraId="126BEFD3" w14:textId="77777777" w:rsidR="0075637E" w:rsidRPr="00EC1AD8" w:rsidRDefault="0075637E" w:rsidP="00A83AB4">
            <w:pPr>
              <w:spacing w:after="120" w:line="480" w:lineRule="auto"/>
            </w:pPr>
          </w:p>
        </w:tc>
        <w:tc>
          <w:tcPr>
            <w:tcW w:w="2268" w:type="dxa"/>
            <w:shd w:val="clear" w:color="auto" w:fill="auto"/>
          </w:tcPr>
          <w:p w14:paraId="51DC3CCE" w14:textId="77777777" w:rsidR="0075637E" w:rsidRPr="00F92C9C" w:rsidRDefault="0075637E" w:rsidP="00A83AB4">
            <w:pPr>
              <w:spacing w:after="120" w:line="480" w:lineRule="auto"/>
            </w:pPr>
            <w:r w:rsidRPr="00F92C9C">
              <w:t>Moderately complex to assign – may require expert interpretation of existing toxicity data, or profiles</w:t>
            </w:r>
          </w:p>
        </w:tc>
        <w:tc>
          <w:tcPr>
            <w:tcW w:w="4253" w:type="dxa"/>
            <w:shd w:val="clear" w:color="auto" w:fill="auto"/>
          </w:tcPr>
          <w:p w14:paraId="09158BCC" w14:textId="77777777" w:rsidR="0075637E" w:rsidRPr="00F92C9C" w:rsidRDefault="0075637E" w:rsidP="00A83AB4">
            <w:pPr>
              <w:spacing w:after="120" w:line="480" w:lineRule="auto"/>
              <w:rPr>
                <w:i/>
                <w:iCs/>
              </w:rPr>
            </w:pPr>
            <w:r w:rsidRPr="00F92C9C">
              <w:t xml:space="preserve">Obtain relevant experimental data or perform </w:t>
            </w:r>
            <w:r w:rsidRPr="00F92C9C">
              <w:rPr>
                <w:i/>
                <w:iCs/>
              </w:rPr>
              <w:t xml:space="preserve">in silico </w:t>
            </w:r>
            <w:r w:rsidRPr="00F92C9C">
              <w:t>assessment.</w:t>
            </w:r>
          </w:p>
          <w:p w14:paraId="1AA0C63C" w14:textId="77777777" w:rsidR="0075637E" w:rsidRPr="00F92C9C" w:rsidRDefault="0075637E" w:rsidP="00A83AB4">
            <w:pPr>
              <w:spacing w:after="120" w:line="480" w:lineRule="auto"/>
            </w:pPr>
            <w:r w:rsidRPr="00F92C9C">
              <w:t>Assess whether there are significant differences in individual data or overall toxicological profile that would indicate the compound is out of domain.</w:t>
            </w:r>
          </w:p>
        </w:tc>
        <w:tc>
          <w:tcPr>
            <w:tcW w:w="2977" w:type="dxa"/>
            <w:shd w:val="clear" w:color="auto" w:fill="auto"/>
          </w:tcPr>
          <w:p w14:paraId="24E1BD52" w14:textId="77777777" w:rsidR="0075637E" w:rsidRPr="00F92C9C" w:rsidRDefault="0075637E" w:rsidP="00A83AB4">
            <w:pPr>
              <w:spacing w:after="120" w:line="480" w:lineRule="auto"/>
            </w:pPr>
            <w:r w:rsidRPr="00F92C9C">
              <w:t>Comparative data may not be available and data quality / reliability of predictions needs to be considered.</w:t>
            </w:r>
          </w:p>
        </w:tc>
      </w:tr>
      <w:tr w:rsidR="0075637E" w:rsidRPr="008A5159" w14:paraId="18EA2708" w14:textId="77777777" w:rsidTr="00A83AB4">
        <w:tc>
          <w:tcPr>
            <w:tcW w:w="2263" w:type="dxa"/>
            <w:shd w:val="clear" w:color="auto" w:fill="auto"/>
          </w:tcPr>
          <w:p w14:paraId="4D1726FD" w14:textId="77777777" w:rsidR="0075637E" w:rsidRDefault="0075637E" w:rsidP="00A83AB4">
            <w:pPr>
              <w:spacing w:after="120" w:line="480" w:lineRule="auto"/>
            </w:pPr>
            <w:r w:rsidRPr="00EC1AD8">
              <w:rPr>
                <w:b/>
                <w:bCs/>
              </w:rPr>
              <w:t>Toxicology: Molecular Initiating Event</w:t>
            </w:r>
            <w:r w:rsidRPr="00EC1AD8">
              <w:t xml:space="preserve"> </w:t>
            </w:r>
          </w:p>
          <w:p w14:paraId="0C3FA948" w14:textId="77777777" w:rsidR="0075637E" w:rsidRPr="00EC1AD8" w:rsidRDefault="0075637E" w:rsidP="00A83AB4">
            <w:pPr>
              <w:spacing w:after="120" w:line="480" w:lineRule="auto"/>
            </w:pPr>
            <w:r w:rsidRPr="00EC1AD8">
              <w:t>(Description of the MIE which may be part of an AOP)</w:t>
            </w:r>
          </w:p>
          <w:p w14:paraId="014DF2D2" w14:textId="77777777" w:rsidR="0075637E" w:rsidRPr="00EC1AD8" w:rsidRDefault="0075637E" w:rsidP="00A83AB4">
            <w:pPr>
              <w:spacing w:after="120" w:line="480" w:lineRule="auto"/>
            </w:pPr>
          </w:p>
          <w:p w14:paraId="26691697" w14:textId="77777777" w:rsidR="0075637E" w:rsidRPr="00EC1AD8" w:rsidRDefault="0075637E" w:rsidP="00A83AB4">
            <w:pPr>
              <w:spacing w:after="120" w:line="480" w:lineRule="auto"/>
            </w:pPr>
          </w:p>
        </w:tc>
        <w:tc>
          <w:tcPr>
            <w:tcW w:w="2835" w:type="dxa"/>
            <w:shd w:val="clear" w:color="auto" w:fill="auto"/>
          </w:tcPr>
          <w:p w14:paraId="28947075" w14:textId="77777777" w:rsidR="0075637E" w:rsidRPr="00EC1AD8" w:rsidRDefault="0075637E" w:rsidP="00A83AB4">
            <w:pPr>
              <w:spacing w:after="120" w:line="480" w:lineRule="auto"/>
            </w:pPr>
            <w:r w:rsidRPr="00EC1AD8">
              <w:t>Knowledge of the MIE may define it as being receptor mediating, reactive, acute enzyme inhibition, blockade of biochemical pathways, etc. Information on grouping should reflect this knowledge</w:t>
            </w:r>
          </w:p>
        </w:tc>
        <w:tc>
          <w:tcPr>
            <w:tcW w:w="2268" w:type="dxa"/>
            <w:shd w:val="clear" w:color="auto" w:fill="auto"/>
          </w:tcPr>
          <w:p w14:paraId="61AAF010" w14:textId="77777777" w:rsidR="0075637E" w:rsidRPr="00F92C9C" w:rsidRDefault="0075637E" w:rsidP="00A83AB4">
            <w:pPr>
              <w:spacing w:after="120" w:line="480" w:lineRule="auto"/>
            </w:pPr>
            <w:r w:rsidRPr="00F92C9C">
              <w:t xml:space="preserve">Variable – </w:t>
            </w:r>
          </w:p>
          <w:p w14:paraId="75C876CE" w14:textId="77777777" w:rsidR="0075637E" w:rsidRPr="00F92C9C" w:rsidRDefault="0075637E" w:rsidP="00A83AB4">
            <w:pPr>
              <w:spacing w:after="120" w:line="480" w:lineRule="auto"/>
            </w:pPr>
            <w:r w:rsidRPr="00F92C9C">
              <w:t>MIE may be well-established or may be an unknown, ill-defined or non-specific MIE</w:t>
            </w:r>
          </w:p>
        </w:tc>
        <w:tc>
          <w:tcPr>
            <w:tcW w:w="4253" w:type="dxa"/>
            <w:shd w:val="clear" w:color="auto" w:fill="auto"/>
          </w:tcPr>
          <w:p w14:paraId="2682AF07" w14:textId="0C07A4F1" w:rsidR="0075637E" w:rsidRPr="00F92C9C" w:rsidRDefault="0075637E" w:rsidP="00A83AB4">
            <w:pPr>
              <w:spacing w:after="120" w:line="480" w:lineRule="auto"/>
            </w:pPr>
            <w:r w:rsidRPr="00F92C9C">
              <w:t xml:space="preserve">Define MIE e.g. according to Cronin and </w:t>
            </w:r>
            <w:proofErr w:type="spellStart"/>
            <w:r w:rsidRPr="00F92C9C">
              <w:t>Richarz</w:t>
            </w:r>
            <w:proofErr w:type="spellEnd"/>
            <w:r w:rsidRPr="00F92C9C">
              <w:t xml:space="preserve"> </w:t>
            </w:r>
            <w:r w:rsidR="000E1B1B">
              <w:t>[</w:t>
            </w:r>
            <w:r w:rsidR="00EB3463">
              <w:t>18</w:t>
            </w:r>
            <w:r w:rsidR="000E1B1B">
              <w:t>]</w:t>
            </w:r>
          </w:p>
          <w:p w14:paraId="7E81727C" w14:textId="77777777" w:rsidR="0075637E" w:rsidRPr="00F92C9C" w:rsidRDefault="0075637E" w:rsidP="00A83AB4">
            <w:pPr>
              <w:spacing w:after="120" w:line="480" w:lineRule="auto"/>
            </w:pPr>
            <w:r w:rsidRPr="00F92C9C">
              <w:t>Determine if the MIE is the same and if similarity in molecular structure reflects the MIE? If not, the compound  will be out of the MIE-defined domain.</w:t>
            </w:r>
          </w:p>
        </w:tc>
        <w:tc>
          <w:tcPr>
            <w:tcW w:w="2977" w:type="dxa"/>
            <w:shd w:val="clear" w:color="auto" w:fill="auto"/>
          </w:tcPr>
          <w:p w14:paraId="4712022C" w14:textId="77777777" w:rsidR="0075637E" w:rsidRPr="00F92C9C" w:rsidRDefault="0075637E" w:rsidP="00A83AB4">
            <w:pPr>
              <w:spacing w:after="120" w:line="480" w:lineRule="auto"/>
            </w:pPr>
          </w:p>
        </w:tc>
      </w:tr>
      <w:tr w:rsidR="0075637E" w:rsidRPr="008A5159" w14:paraId="3592AC2E" w14:textId="77777777" w:rsidTr="00A83AB4">
        <w:tc>
          <w:tcPr>
            <w:tcW w:w="2263" w:type="dxa"/>
            <w:shd w:val="clear" w:color="auto" w:fill="auto"/>
          </w:tcPr>
          <w:p w14:paraId="69E81799" w14:textId="77777777" w:rsidR="0075637E" w:rsidRPr="00EC1AD8" w:rsidRDefault="0075637E" w:rsidP="00A83AB4">
            <w:pPr>
              <w:spacing w:after="120" w:line="480" w:lineRule="auto"/>
              <w:rPr>
                <w:b/>
                <w:bCs/>
              </w:rPr>
            </w:pPr>
            <w:r w:rsidRPr="00EC1AD8">
              <w:rPr>
                <w:b/>
                <w:bCs/>
              </w:rPr>
              <w:t>Toxicology: Mechanistic Analysis</w:t>
            </w:r>
          </w:p>
          <w:p w14:paraId="07DE438B" w14:textId="77777777" w:rsidR="0075637E" w:rsidRPr="00EC1AD8" w:rsidRDefault="0075637E" w:rsidP="00A83AB4">
            <w:pPr>
              <w:spacing w:after="120" w:line="480" w:lineRule="auto"/>
            </w:pPr>
          </w:p>
        </w:tc>
        <w:tc>
          <w:tcPr>
            <w:tcW w:w="2835" w:type="dxa"/>
            <w:shd w:val="clear" w:color="auto" w:fill="auto"/>
          </w:tcPr>
          <w:p w14:paraId="74D1E1BE" w14:textId="77777777" w:rsidR="0075637E" w:rsidRPr="00EC1AD8" w:rsidRDefault="0075637E" w:rsidP="00A83AB4">
            <w:pPr>
              <w:spacing w:after="120" w:line="480" w:lineRule="auto"/>
            </w:pPr>
            <w:r w:rsidRPr="00EC1AD8">
              <w:t>Biological data e.g. data from NAM, -omics  or high content assays used to confirm similarity in mechanism of toxic action</w:t>
            </w:r>
          </w:p>
          <w:p w14:paraId="32CE2358" w14:textId="77777777" w:rsidR="0075637E" w:rsidRPr="00EC1AD8" w:rsidRDefault="0075637E" w:rsidP="00A83AB4">
            <w:pPr>
              <w:spacing w:after="120" w:line="480" w:lineRule="auto"/>
            </w:pPr>
          </w:p>
        </w:tc>
        <w:tc>
          <w:tcPr>
            <w:tcW w:w="2268" w:type="dxa"/>
            <w:shd w:val="clear" w:color="auto" w:fill="auto"/>
          </w:tcPr>
          <w:p w14:paraId="292EC169" w14:textId="77777777" w:rsidR="0075637E" w:rsidRPr="00F92C9C" w:rsidRDefault="0075637E" w:rsidP="00A83AB4">
            <w:pPr>
              <w:spacing w:after="120" w:line="480" w:lineRule="auto"/>
            </w:pPr>
            <w:r w:rsidRPr="00F92C9C">
              <w:t>Variable – data from NAMs may be directly associated with mechanism of action; however  difficult to definitively assign using  “high content” / -omics data</w:t>
            </w:r>
          </w:p>
        </w:tc>
        <w:tc>
          <w:tcPr>
            <w:tcW w:w="4253" w:type="dxa"/>
            <w:shd w:val="clear" w:color="auto" w:fill="auto"/>
          </w:tcPr>
          <w:p w14:paraId="01BE95D7" w14:textId="77777777" w:rsidR="0075637E" w:rsidRPr="00F92C9C" w:rsidRDefault="0075637E" w:rsidP="00A83AB4">
            <w:pPr>
              <w:spacing w:after="120" w:line="480" w:lineRule="auto"/>
            </w:pPr>
            <w:r w:rsidRPr="00F92C9C">
              <w:t>Obtain relevant data from biological assays, NAMs, high content or -omics assays.</w:t>
            </w:r>
          </w:p>
          <w:p w14:paraId="07871188" w14:textId="77777777" w:rsidR="0075637E" w:rsidRPr="00F92C9C" w:rsidRDefault="0075637E" w:rsidP="00A83AB4">
            <w:pPr>
              <w:spacing w:after="120" w:line="480" w:lineRule="auto"/>
            </w:pPr>
            <w:r w:rsidRPr="00F92C9C">
              <w:t xml:space="preserve">Establish if NAM assay results and/or high content /-omics assays indicate a commonality in mechanism of action </w:t>
            </w:r>
          </w:p>
          <w:p w14:paraId="63B83944" w14:textId="77777777" w:rsidR="0075637E" w:rsidRPr="00F92C9C" w:rsidRDefault="0075637E" w:rsidP="00A83AB4">
            <w:pPr>
              <w:spacing w:after="120" w:line="480" w:lineRule="auto"/>
            </w:pPr>
          </w:p>
        </w:tc>
        <w:tc>
          <w:tcPr>
            <w:tcW w:w="2977" w:type="dxa"/>
            <w:shd w:val="clear" w:color="auto" w:fill="auto"/>
          </w:tcPr>
          <w:p w14:paraId="2D79D2A4" w14:textId="77777777" w:rsidR="0075637E" w:rsidRPr="00F92C9C" w:rsidRDefault="0075637E" w:rsidP="00A83AB4">
            <w:pPr>
              <w:spacing w:after="120" w:line="480" w:lineRule="auto"/>
            </w:pPr>
            <w:r w:rsidRPr="00F92C9C">
              <w:t>Analysis of high content /-omics data can be intensive, although data are becoming more accessible; application of NAMs is rapidly expanding at present</w:t>
            </w:r>
          </w:p>
        </w:tc>
      </w:tr>
      <w:tr w:rsidR="0075637E" w:rsidRPr="008A5159" w14:paraId="34823334" w14:textId="77777777" w:rsidTr="00A83AB4">
        <w:tc>
          <w:tcPr>
            <w:tcW w:w="14596" w:type="dxa"/>
            <w:gridSpan w:val="5"/>
            <w:shd w:val="clear" w:color="auto" w:fill="auto"/>
          </w:tcPr>
          <w:p w14:paraId="50B7C15F" w14:textId="77777777" w:rsidR="0075637E" w:rsidRPr="00F92C9C" w:rsidRDefault="0075637E" w:rsidP="00A83AB4">
            <w:pPr>
              <w:spacing w:after="120" w:line="480" w:lineRule="auto"/>
            </w:pPr>
          </w:p>
        </w:tc>
      </w:tr>
      <w:tr w:rsidR="0075637E" w:rsidRPr="008A5159" w14:paraId="0A03834A" w14:textId="77777777" w:rsidTr="00A83AB4">
        <w:tc>
          <w:tcPr>
            <w:tcW w:w="14596" w:type="dxa"/>
            <w:gridSpan w:val="5"/>
            <w:shd w:val="clear" w:color="auto" w:fill="auto"/>
          </w:tcPr>
          <w:p w14:paraId="56E428F1" w14:textId="77777777" w:rsidR="0075637E" w:rsidRPr="00EC1AD8" w:rsidRDefault="0075637E" w:rsidP="00A83AB4">
            <w:pPr>
              <w:spacing w:after="120" w:line="480" w:lineRule="auto"/>
              <w:jc w:val="center"/>
              <w:rPr>
                <w:b/>
                <w:bCs/>
              </w:rPr>
            </w:pPr>
            <w:proofErr w:type="spellStart"/>
            <w:r w:rsidRPr="00EC1AD8">
              <w:rPr>
                <w:b/>
                <w:bCs/>
              </w:rPr>
              <w:t>Toxicokinetics</w:t>
            </w:r>
            <w:proofErr w:type="spellEnd"/>
          </w:p>
        </w:tc>
      </w:tr>
      <w:tr w:rsidR="0075637E" w:rsidRPr="008A5159" w14:paraId="64CFF93E" w14:textId="77777777" w:rsidTr="00A83AB4">
        <w:tc>
          <w:tcPr>
            <w:tcW w:w="14596" w:type="dxa"/>
            <w:gridSpan w:val="5"/>
            <w:shd w:val="clear" w:color="auto" w:fill="auto"/>
          </w:tcPr>
          <w:p w14:paraId="72ACA8AD" w14:textId="77777777" w:rsidR="0075637E" w:rsidRPr="00EC1AD8" w:rsidRDefault="0075637E" w:rsidP="00A83AB4">
            <w:pPr>
              <w:spacing w:after="120" w:line="480" w:lineRule="auto"/>
              <w:jc w:val="center"/>
              <w:rPr>
                <w:b/>
                <w:bCs/>
              </w:rPr>
            </w:pPr>
          </w:p>
        </w:tc>
      </w:tr>
      <w:tr w:rsidR="0075637E" w:rsidRPr="008A5159" w14:paraId="4503ED4D" w14:textId="77777777" w:rsidTr="00A83AB4">
        <w:tc>
          <w:tcPr>
            <w:tcW w:w="2263" w:type="dxa"/>
            <w:shd w:val="clear" w:color="auto" w:fill="auto"/>
          </w:tcPr>
          <w:p w14:paraId="43D06A46" w14:textId="77777777" w:rsidR="0075637E" w:rsidRDefault="0075637E" w:rsidP="00A83AB4">
            <w:pPr>
              <w:spacing w:after="120" w:line="480" w:lineRule="auto"/>
            </w:pPr>
            <w:r w:rsidRPr="00EC1AD8">
              <w:rPr>
                <w:b/>
                <w:bCs/>
              </w:rPr>
              <w:t>Toxicokinetic (TK) parameters</w:t>
            </w:r>
            <w:r w:rsidRPr="00EC1AD8">
              <w:t xml:space="preserve"> </w:t>
            </w:r>
          </w:p>
          <w:p w14:paraId="2D89E8B5" w14:textId="77777777" w:rsidR="0075637E" w:rsidRPr="00EC1AD8" w:rsidRDefault="0075637E" w:rsidP="00A83AB4">
            <w:pPr>
              <w:spacing w:after="120" w:line="480" w:lineRule="auto"/>
            </w:pPr>
            <w:r>
              <w:t>R</w:t>
            </w:r>
            <w:r w:rsidRPr="00EC1AD8">
              <w:t>elating to absorption, distribution, metabolism* and excretion (ADME)</w:t>
            </w:r>
          </w:p>
          <w:p w14:paraId="1EB12319" w14:textId="77777777" w:rsidR="0075637E" w:rsidRPr="00EC1AD8" w:rsidRDefault="0075637E" w:rsidP="00A83AB4">
            <w:pPr>
              <w:spacing w:after="120" w:line="480" w:lineRule="auto"/>
            </w:pPr>
          </w:p>
        </w:tc>
        <w:tc>
          <w:tcPr>
            <w:tcW w:w="2835" w:type="dxa"/>
            <w:shd w:val="clear" w:color="auto" w:fill="auto"/>
          </w:tcPr>
          <w:p w14:paraId="0C9C4A88" w14:textId="77777777" w:rsidR="0075637E" w:rsidRPr="00EC1AD8" w:rsidRDefault="0075637E" w:rsidP="00A83AB4">
            <w:pPr>
              <w:spacing w:after="120" w:line="480" w:lineRule="auto"/>
            </w:pPr>
            <w:r w:rsidRPr="00EC1AD8">
              <w:t>Data available from toxicokinetic studies or predicted using software, includes overall bioavailability (via relevant route), half-life, area under concentration-time curve (AUC), rate/percentage absorbed; volume of distribution; plasma or tissue protein binding; clearance rate or percentage excreted by kidneys, liver, lung etc</w:t>
            </w:r>
          </w:p>
        </w:tc>
        <w:tc>
          <w:tcPr>
            <w:tcW w:w="2268" w:type="dxa"/>
            <w:shd w:val="clear" w:color="auto" w:fill="auto"/>
          </w:tcPr>
          <w:p w14:paraId="62E3EBB7" w14:textId="77777777" w:rsidR="0075637E" w:rsidRPr="00F92C9C" w:rsidRDefault="0075637E" w:rsidP="00A83AB4">
            <w:pPr>
              <w:spacing w:after="120" w:line="480" w:lineRule="auto"/>
            </w:pPr>
            <w:r w:rsidRPr="00F92C9C">
              <w:t xml:space="preserve">Variable – </w:t>
            </w:r>
          </w:p>
          <w:p w14:paraId="5CD6C10B" w14:textId="77777777" w:rsidR="0075637E" w:rsidRPr="00F92C9C" w:rsidRDefault="0075637E" w:rsidP="00A83AB4">
            <w:pPr>
              <w:spacing w:after="120" w:line="480" w:lineRule="auto"/>
            </w:pPr>
            <w:r w:rsidRPr="00F92C9C">
              <w:t>Some TK parameters may be directly comparable; others require expert analysis of toxicokinetic profile</w:t>
            </w:r>
          </w:p>
        </w:tc>
        <w:tc>
          <w:tcPr>
            <w:tcW w:w="4253" w:type="dxa"/>
            <w:shd w:val="clear" w:color="auto" w:fill="auto"/>
          </w:tcPr>
          <w:p w14:paraId="35B89C9C" w14:textId="77777777" w:rsidR="0075637E" w:rsidRPr="00F92C9C" w:rsidRDefault="0075637E" w:rsidP="00A83AB4">
            <w:pPr>
              <w:spacing w:after="120" w:line="480" w:lineRule="auto"/>
            </w:pPr>
            <w:r w:rsidRPr="00F92C9C">
              <w:t xml:space="preserve">Obtain data from experimental toxicokinetic studies or </w:t>
            </w:r>
            <w:r w:rsidRPr="00F92C9C">
              <w:rPr>
                <w:i/>
                <w:iCs/>
              </w:rPr>
              <w:t>in silico</w:t>
            </w:r>
            <w:r w:rsidRPr="00F92C9C">
              <w:t xml:space="preserve"> predictions</w:t>
            </w:r>
          </w:p>
          <w:p w14:paraId="065CEFCE" w14:textId="77777777" w:rsidR="0075637E" w:rsidRPr="00F92C9C" w:rsidRDefault="0075637E" w:rsidP="00A83AB4">
            <w:pPr>
              <w:spacing w:after="120" w:line="480" w:lineRule="auto"/>
            </w:pPr>
            <w:r w:rsidRPr="00F92C9C">
              <w:t>Determine if there are significant differences in toxicokinetic data (individual values or AUC profile) that may indicate overall differences in bioavailability at relevant site, potential to accumulate or metabolism*.</w:t>
            </w:r>
          </w:p>
          <w:p w14:paraId="3668713A" w14:textId="77777777" w:rsidR="0075637E" w:rsidRPr="00F92C9C" w:rsidRDefault="0075637E" w:rsidP="00A83AB4">
            <w:pPr>
              <w:spacing w:after="120" w:line="480" w:lineRule="auto"/>
            </w:pPr>
          </w:p>
        </w:tc>
        <w:tc>
          <w:tcPr>
            <w:tcW w:w="2977" w:type="dxa"/>
            <w:shd w:val="clear" w:color="auto" w:fill="auto"/>
          </w:tcPr>
          <w:p w14:paraId="5FCC8B2B" w14:textId="77777777" w:rsidR="0075637E" w:rsidRPr="00F92C9C" w:rsidRDefault="0075637E" w:rsidP="00A83AB4">
            <w:pPr>
              <w:spacing w:after="120" w:line="480" w:lineRule="auto"/>
            </w:pPr>
            <w:r w:rsidRPr="00F92C9C">
              <w:t>Differences in TK parameters such as bioavailability or accumulation may be accommodated if sufficiently understood, by adjusting the read-across value or using a safety factor</w:t>
            </w:r>
          </w:p>
        </w:tc>
      </w:tr>
      <w:tr w:rsidR="0075637E" w:rsidRPr="008A5159" w14:paraId="7CA4E7FE" w14:textId="77777777" w:rsidTr="00A83AB4">
        <w:tc>
          <w:tcPr>
            <w:tcW w:w="2263" w:type="dxa"/>
            <w:shd w:val="clear" w:color="auto" w:fill="auto"/>
          </w:tcPr>
          <w:p w14:paraId="42B38667" w14:textId="77777777" w:rsidR="0075637E" w:rsidRPr="00EC1AD8" w:rsidRDefault="0075637E" w:rsidP="00A83AB4">
            <w:pPr>
              <w:spacing w:after="120" w:line="480" w:lineRule="auto"/>
            </w:pPr>
            <w:r w:rsidRPr="00EC1AD8">
              <w:rPr>
                <w:b/>
                <w:bCs/>
              </w:rPr>
              <w:t>Metabolism*:</w:t>
            </w:r>
            <w:r w:rsidRPr="00EC1AD8">
              <w:t xml:space="preserve"> Metabolite identity, rate or extent of metabolism</w:t>
            </w:r>
          </w:p>
          <w:p w14:paraId="7C37F8AD" w14:textId="77777777" w:rsidR="0075637E" w:rsidRPr="00EC1AD8" w:rsidRDefault="0075637E" w:rsidP="00A83AB4">
            <w:pPr>
              <w:spacing w:after="120" w:line="480" w:lineRule="auto"/>
            </w:pPr>
          </w:p>
        </w:tc>
        <w:tc>
          <w:tcPr>
            <w:tcW w:w="2835" w:type="dxa"/>
            <w:shd w:val="clear" w:color="auto" w:fill="auto"/>
          </w:tcPr>
          <w:p w14:paraId="0A4C0E32" w14:textId="77777777" w:rsidR="0075637E" w:rsidRPr="00EC1AD8" w:rsidRDefault="0075637E" w:rsidP="00A83AB4">
            <w:pPr>
              <w:spacing w:after="120" w:line="480" w:lineRule="auto"/>
            </w:pPr>
            <w:r w:rsidRPr="00EC1AD8">
              <w:t>Experimentally determined metabolites, metabolites predicted using software or assumption that target and source have same primary metabolite that is responsible for toxicity; metabolism rate data (usually experimentally derived)</w:t>
            </w:r>
          </w:p>
        </w:tc>
        <w:tc>
          <w:tcPr>
            <w:tcW w:w="2268" w:type="dxa"/>
            <w:shd w:val="clear" w:color="auto" w:fill="auto"/>
          </w:tcPr>
          <w:p w14:paraId="22C945B2" w14:textId="77777777" w:rsidR="0075637E" w:rsidRPr="00F92C9C" w:rsidRDefault="0075637E" w:rsidP="00A83AB4">
            <w:pPr>
              <w:spacing w:after="120" w:line="480" w:lineRule="auto"/>
            </w:pPr>
          </w:p>
        </w:tc>
        <w:tc>
          <w:tcPr>
            <w:tcW w:w="4253" w:type="dxa"/>
            <w:shd w:val="clear" w:color="auto" w:fill="auto"/>
          </w:tcPr>
          <w:p w14:paraId="1E83739D" w14:textId="77777777" w:rsidR="0075637E" w:rsidRPr="00F92C9C" w:rsidRDefault="0075637E" w:rsidP="00A83AB4">
            <w:pPr>
              <w:spacing w:after="120" w:line="480" w:lineRule="auto"/>
            </w:pPr>
            <w:r w:rsidRPr="00F92C9C">
              <w:t xml:space="preserve">Identify metabolites from experimental studies or </w:t>
            </w:r>
            <w:r w:rsidRPr="00F92C9C">
              <w:rPr>
                <w:i/>
                <w:iCs/>
              </w:rPr>
              <w:t>in silico</w:t>
            </w:r>
            <w:r w:rsidRPr="00F92C9C">
              <w:t xml:space="preserve"> prediction; (rate data may be available from experimental studies).</w:t>
            </w:r>
          </w:p>
          <w:p w14:paraId="33F71F7C" w14:textId="77777777" w:rsidR="0075637E" w:rsidRPr="00F92C9C" w:rsidRDefault="0075637E" w:rsidP="00A83AB4">
            <w:pPr>
              <w:spacing w:after="120" w:line="480" w:lineRule="auto"/>
            </w:pPr>
            <w:r w:rsidRPr="00F92C9C">
              <w:t>Determine whether target and source have common metabolites (especially where the metabolite is associated with toxicity); determine if either have additional metabolites that are associated with other toxic effects. Compounds are in domain if the same key metabolite(s) are formed and other metabolites formed by either target or source are deemed inconsequential to the toxicity. Comparison of rate of metabolism may also be relevant when comparing bioavailability or half-life.</w:t>
            </w:r>
          </w:p>
        </w:tc>
        <w:tc>
          <w:tcPr>
            <w:tcW w:w="2977" w:type="dxa"/>
            <w:shd w:val="clear" w:color="auto" w:fill="auto"/>
          </w:tcPr>
          <w:p w14:paraId="2A7F9C88" w14:textId="77777777" w:rsidR="0075637E" w:rsidRPr="00F92C9C" w:rsidRDefault="0075637E" w:rsidP="00A83AB4">
            <w:pPr>
              <w:spacing w:after="120" w:line="480" w:lineRule="auto"/>
            </w:pPr>
            <w:r w:rsidRPr="00F92C9C">
              <w:t>Metabolism may be key consideration for certain read-across scenarios (e.g. formation of a common metabolite associated with toxicity) . Differences in metabolites or rate of metabolism can have a significant impact on read-across.</w:t>
            </w:r>
          </w:p>
        </w:tc>
      </w:tr>
    </w:tbl>
    <w:p w14:paraId="5D64EC44" w14:textId="77777777" w:rsidR="0075637E" w:rsidRDefault="0075637E" w:rsidP="00A83AB4">
      <w:pPr>
        <w:spacing w:after="120" w:line="480" w:lineRule="auto"/>
      </w:pPr>
    </w:p>
    <w:p w14:paraId="2245A9CA" w14:textId="2F5B4B37" w:rsidR="00EB1627" w:rsidRDefault="00EB1627" w:rsidP="00A83AB4">
      <w:pPr>
        <w:spacing w:after="120" w:line="480" w:lineRule="auto"/>
        <w:jc w:val="both"/>
      </w:pPr>
    </w:p>
    <w:p w14:paraId="5C6156D1" w14:textId="0AE55ED3" w:rsidR="00EB1627" w:rsidRDefault="00EB1627" w:rsidP="00A83AB4">
      <w:pPr>
        <w:spacing w:after="120" w:line="480" w:lineRule="auto"/>
        <w:jc w:val="both"/>
      </w:pPr>
    </w:p>
    <w:p w14:paraId="1C7370F0" w14:textId="77777777" w:rsidR="00EB1627" w:rsidRDefault="00EB1627" w:rsidP="00A83AB4">
      <w:pPr>
        <w:spacing w:after="120" w:line="480" w:lineRule="auto"/>
        <w:jc w:val="both"/>
      </w:pPr>
    </w:p>
    <w:p w14:paraId="0E173C0C" w14:textId="77777777" w:rsidR="00EB1627" w:rsidRDefault="00EB1627" w:rsidP="00CF18C5">
      <w:pPr>
        <w:spacing w:after="120" w:line="480" w:lineRule="auto"/>
        <w:sectPr w:rsidR="00EB1627" w:rsidSect="00154DC3">
          <w:type w:val="nextColumn"/>
          <w:pgSz w:w="16838" w:h="11906" w:orient="landscape"/>
          <w:pgMar w:top="1440" w:right="1440" w:bottom="1440" w:left="1440" w:header="709" w:footer="709" w:gutter="0"/>
          <w:lnNumType w:countBy="1" w:restart="continuous"/>
          <w:cols w:space="708"/>
          <w:docGrid w:linePitch="360"/>
        </w:sectPr>
      </w:pPr>
    </w:p>
    <w:p w14:paraId="637ADDFB" w14:textId="1DBE335C" w:rsidR="00895FA1" w:rsidRDefault="00895FA1" w:rsidP="00CF18C5">
      <w:pPr>
        <w:spacing w:after="120" w:line="480" w:lineRule="auto"/>
      </w:pPr>
    </w:p>
    <w:p w14:paraId="6AB4C340" w14:textId="27A2BE0C" w:rsidR="00672B92" w:rsidRPr="00202274" w:rsidRDefault="00D643BD" w:rsidP="00CF18C5">
      <w:pPr>
        <w:spacing w:after="120" w:line="480" w:lineRule="auto"/>
        <w:jc w:val="both"/>
      </w:pPr>
      <w:r w:rsidRPr="00A83AB4">
        <w:t>One approach for read-across is the</w:t>
      </w:r>
      <w:r w:rsidR="00B07041" w:rsidRPr="00D643BD">
        <w:t xml:space="preserve"> analogue</w:t>
      </w:r>
      <w:r w:rsidR="00B07041">
        <w:t xml:space="preserve"> approach</w:t>
      </w:r>
      <w:r>
        <w:t>,</w:t>
      </w:r>
      <w:r w:rsidR="00B07041">
        <w:t xml:space="preserve"> whereby the target and source molecule</w:t>
      </w:r>
      <w:r w:rsidR="00E90344">
        <w:t>s</w:t>
      </w:r>
      <w:r w:rsidR="00B07041">
        <w:t xml:space="preserve"> are compared directly</w:t>
      </w:r>
      <w:r w:rsidR="00AD4415">
        <w:t>. In reality, it is not possible to make a direct and objective comparison o</w:t>
      </w:r>
      <w:r w:rsidR="00B37C3C">
        <w:t xml:space="preserve">f the </w:t>
      </w:r>
      <w:r w:rsidRPr="00A83AB4">
        <w:rPr>
          <w:i/>
          <w:iCs/>
        </w:rPr>
        <w:t>absolute</w:t>
      </w:r>
      <w:r>
        <w:t xml:space="preserve"> </w:t>
      </w:r>
      <w:r w:rsidR="00B37C3C">
        <w:t xml:space="preserve">similarity </w:t>
      </w:r>
      <w:r>
        <w:t xml:space="preserve">or </w:t>
      </w:r>
      <w:r w:rsidR="00B37C3C">
        <w:t>dissimilarity of two molecules</w:t>
      </w:r>
      <w:r>
        <w:t>; this can only be considered in relation to specific properties</w:t>
      </w:r>
      <w:r w:rsidR="00EA4B6C">
        <w:t xml:space="preserve">. It </w:t>
      </w:r>
      <w:r>
        <w:t>may be</w:t>
      </w:r>
      <w:r w:rsidR="00EA4B6C">
        <w:t xml:space="preserve"> possible to consider</w:t>
      </w:r>
      <w:r w:rsidR="007D015E">
        <w:t xml:space="preserve"> whether the two molecules are highly similar in terms of </w:t>
      </w:r>
      <w:r>
        <w:t xml:space="preserve">relevant </w:t>
      </w:r>
      <w:proofErr w:type="spellStart"/>
      <w:r w:rsidR="007D015E">
        <w:t>physico</w:t>
      </w:r>
      <w:proofErr w:type="spellEnd"/>
      <w:r w:rsidR="007D015E">
        <w:t>-chemical properties</w:t>
      </w:r>
      <w:r w:rsidR="00C122A5">
        <w:t xml:space="preserve"> such as </w:t>
      </w:r>
      <w:r w:rsidR="008B089E">
        <w:t>molecular weight (M</w:t>
      </w:r>
      <w:r w:rsidR="00C122A5">
        <w:t>W</w:t>
      </w:r>
      <w:r w:rsidR="008B089E">
        <w:t>)</w:t>
      </w:r>
      <w:r w:rsidR="00C122A5">
        <w:t xml:space="preserve">, </w:t>
      </w:r>
      <w:r w:rsidR="008B089E">
        <w:t>logarithm of the octanol-water partition coefficient (</w:t>
      </w:r>
      <w:r w:rsidR="00C122A5">
        <w:t>log P</w:t>
      </w:r>
      <w:r w:rsidR="008B089E">
        <w:t>)</w:t>
      </w:r>
      <w:r w:rsidR="00C122A5">
        <w:t xml:space="preserve"> etc. </w:t>
      </w:r>
      <w:r w:rsidR="001C70F0">
        <w:t xml:space="preserve">The category approach, however, lends itself </w:t>
      </w:r>
      <w:r w:rsidR="00675C71">
        <w:t>to a more quantitative approach</w:t>
      </w:r>
      <w:r w:rsidR="003717D4">
        <w:t xml:space="preserve"> i.e. the property range within a category</w:t>
      </w:r>
      <w:r w:rsidR="00675C71">
        <w:t xml:space="preserve"> can be considered</w:t>
      </w:r>
      <w:r w:rsidR="003717D4">
        <w:t xml:space="preserve">. Analysis of this sort has two distinct advantages, </w:t>
      </w:r>
      <w:r w:rsidR="008619B7">
        <w:t xml:space="preserve">firstly it enables the determination of </w:t>
      </w:r>
      <w:r w:rsidR="007F0B85">
        <w:t>whether the target molecule fits within the chemi</w:t>
      </w:r>
      <w:r w:rsidR="00675C71">
        <w:t>cal</w:t>
      </w:r>
      <w:r w:rsidR="007F0B85">
        <w:t xml:space="preserve"> and toxicolog</w:t>
      </w:r>
      <w:r w:rsidR="00675C71">
        <w:t>ical</w:t>
      </w:r>
      <w:r w:rsidR="007F0B85">
        <w:t xml:space="preserve"> space of the </w:t>
      </w:r>
      <w:r w:rsidR="00A57298">
        <w:t xml:space="preserve">category, but also </w:t>
      </w:r>
      <w:r w:rsidR="00675C71">
        <w:t xml:space="preserve">takes account of the </w:t>
      </w:r>
      <w:r w:rsidR="00A57298">
        <w:t>heterogene</w:t>
      </w:r>
      <w:r w:rsidR="00675C71">
        <w:t>ity of</w:t>
      </w:r>
      <w:r w:rsidR="00A57298">
        <w:t xml:space="preserve"> the category itself. </w:t>
      </w:r>
      <w:r w:rsidR="001B1252">
        <w:t>Herein, th</w:t>
      </w:r>
      <w:r w:rsidR="00672B92">
        <w:t xml:space="preserve">e concepts of domain for an analogue and a category, and how the domain may be applied, are illustrated </w:t>
      </w:r>
      <w:r w:rsidR="00335F99">
        <w:t xml:space="preserve">through the re-analysis of </w:t>
      </w:r>
      <w:r w:rsidR="008F22D5">
        <w:t>a grouping and read-across study proposed by Pestana et al</w:t>
      </w:r>
      <w:r w:rsidR="00CD024E">
        <w:t>.</w:t>
      </w:r>
      <w:r w:rsidR="008F22D5">
        <w:t xml:space="preserve"> </w:t>
      </w:r>
      <w:r w:rsidR="000E1B1B">
        <w:t>[14]</w:t>
      </w:r>
      <w:r w:rsidR="008F22D5">
        <w:t>. Th</w:t>
      </w:r>
      <w:r w:rsidR="001B1252">
        <w:t xml:space="preserve">is </w:t>
      </w:r>
      <w:r w:rsidR="000C3139">
        <w:t xml:space="preserve">study aimed to read-across the repeat dose toxicity of </w:t>
      </w:r>
      <w:r w:rsidR="009F3D2E">
        <w:t>triazole fungicides, more specifically tetraconazole</w:t>
      </w:r>
      <w:r w:rsidR="008B7338">
        <w:t xml:space="preserve"> to hexaconazole as the analogue approach</w:t>
      </w:r>
      <w:r w:rsidR="00566AB5">
        <w:t>,</w:t>
      </w:r>
      <w:r w:rsidR="008B7338">
        <w:t xml:space="preserve"> and</w:t>
      </w:r>
      <w:r w:rsidR="00566AB5">
        <w:t xml:space="preserve"> then beyond</w:t>
      </w:r>
      <w:r w:rsidR="008B7338">
        <w:t xml:space="preserve"> to a larger category. Pestana et al</w:t>
      </w:r>
      <w:r w:rsidR="00CD024E">
        <w:t>.</w:t>
      </w:r>
      <w:r w:rsidR="008B7338">
        <w:t xml:space="preserve"> </w:t>
      </w:r>
      <w:r w:rsidR="000E1B1B">
        <w:t>[14]</w:t>
      </w:r>
      <w:r w:rsidR="008B7338">
        <w:t xml:space="preserve"> </w:t>
      </w:r>
      <w:r w:rsidR="00736EAB">
        <w:t xml:space="preserve">compiled a large amount of supporting data, including for NAMs, which were utilised and added to in this study. </w:t>
      </w:r>
      <w:r w:rsidR="00202274">
        <w:t>As indicated in Table 1, the analogue or category approaches require consideration of all three types of domain criteria (chemi</w:t>
      </w:r>
      <w:r w:rsidR="008F0A11">
        <w:t>stry</w:t>
      </w:r>
      <w:r w:rsidR="00202274">
        <w:t xml:space="preserve">, toxicodynamic and toxicokinetic). For </w:t>
      </w:r>
      <w:r w:rsidR="002B065D">
        <w:t>other</w:t>
      </w:r>
      <w:r w:rsidR="00202274">
        <w:t xml:space="preserve"> read-across approaches there is greater focus on </w:t>
      </w:r>
      <w:r w:rsidR="00B96F47">
        <w:t>specific types of data, for example toxicodynamic data for biological read-across or toxicokinetic data for the common metabolite approach. The</w:t>
      </w:r>
      <w:r w:rsidR="003529F8">
        <w:t xml:space="preserve"> primary</w:t>
      </w:r>
      <w:r w:rsidR="00B96F47">
        <w:t xml:space="preserve"> focus of this study was to demonstrate the practical application of domain definition, as relevant to the analogue and category approaches, however, application of the approach to other read-across </w:t>
      </w:r>
      <w:r w:rsidR="003529F8">
        <w:t>methods (formation of a common metabolite or degradant, biological read-across and read-across for UVCBs or mixtures) are also discussed below.</w:t>
      </w:r>
    </w:p>
    <w:p w14:paraId="2BB53D62" w14:textId="77777777" w:rsidR="00B0412E" w:rsidRDefault="00B0412E" w:rsidP="00CF18C5">
      <w:pPr>
        <w:spacing w:after="120" w:line="480" w:lineRule="auto"/>
        <w:jc w:val="both"/>
        <w:rPr>
          <w:i/>
          <w:iCs/>
        </w:rPr>
      </w:pPr>
    </w:p>
    <w:p w14:paraId="6D87FF36" w14:textId="6C450EA9" w:rsidR="009658AB" w:rsidRDefault="00815590" w:rsidP="00CF18C5">
      <w:pPr>
        <w:spacing w:after="120" w:line="480" w:lineRule="auto"/>
        <w:jc w:val="both"/>
        <w:rPr>
          <w:i/>
          <w:iCs/>
        </w:rPr>
      </w:pPr>
      <w:r>
        <w:rPr>
          <w:i/>
          <w:iCs/>
        </w:rPr>
        <w:t xml:space="preserve">2.3 </w:t>
      </w:r>
      <w:r w:rsidR="009658AB">
        <w:rPr>
          <w:i/>
          <w:iCs/>
        </w:rPr>
        <w:t>Data compilation to support the definition of domains</w:t>
      </w:r>
    </w:p>
    <w:p w14:paraId="3921F4DE" w14:textId="41695511" w:rsidR="009658AB" w:rsidRDefault="009658AB" w:rsidP="00CF18C5">
      <w:pPr>
        <w:spacing w:after="120" w:line="480" w:lineRule="auto"/>
        <w:jc w:val="both"/>
        <w:rPr>
          <w:i/>
          <w:iCs/>
        </w:rPr>
      </w:pPr>
    </w:p>
    <w:p w14:paraId="00F1540E" w14:textId="5D918E27" w:rsidR="009045CA" w:rsidRDefault="009045CA" w:rsidP="00CF18C5">
      <w:pPr>
        <w:spacing w:after="120" w:line="480" w:lineRule="auto"/>
        <w:jc w:val="both"/>
      </w:pPr>
      <w:r>
        <w:t xml:space="preserve">The compounds in the data set </w:t>
      </w:r>
      <w:r w:rsidR="0032575B">
        <w:t xml:space="preserve">considered as part of the analogue and category approaches </w:t>
      </w:r>
      <w:r>
        <w:t>are</w:t>
      </w:r>
      <w:r w:rsidR="00791958">
        <w:t xml:space="preserve"> summarised in Table 3</w:t>
      </w:r>
      <w:r w:rsidR="00566AB5">
        <w:t>,</w:t>
      </w:r>
      <w:r w:rsidR="0032575B">
        <w:t xml:space="preserve"> including their identifiers and </w:t>
      </w:r>
      <w:r w:rsidR="003031C6">
        <w:t xml:space="preserve">experimental </w:t>
      </w:r>
      <w:r w:rsidR="0032575B">
        <w:t>No Observed Adverse Effect Level</w:t>
      </w:r>
      <w:r w:rsidR="00FD244A">
        <w:t>s</w:t>
      </w:r>
      <w:r w:rsidR="0032575B">
        <w:t xml:space="preserve"> (NOAEL</w:t>
      </w:r>
      <w:r w:rsidR="00FD244A">
        <w:t>s</w:t>
      </w:r>
      <w:r w:rsidR="0032575B">
        <w:t>)</w:t>
      </w:r>
      <w:r w:rsidR="00732B6F">
        <w:t>.</w:t>
      </w:r>
      <w:r w:rsidR="009F00DF">
        <w:t xml:space="preserve"> All values in Table 3 represent 90 day rat oral NOAEL values</w:t>
      </w:r>
      <w:r w:rsidR="00255928">
        <w:t xml:space="preserve"> [1</w:t>
      </w:r>
      <w:r w:rsidR="00EB3463">
        <w:t>9</w:t>
      </w:r>
      <w:r w:rsidR="00255928">
        <w:t>-3</w:t>
      </w:r>
      <w:r w:rsidR="00EB3463">
        <w:t>6</w:t>
      </w:r>
      <w:r w:rsidR="00255928">
        <w:t>]</w:t>
      </w:r>
      <w:r w:rsidR="009F00DF">
        <w:t xml:space="preserve">, which were considered to be the most representative publicly available value, as published previously by Pestana et al. </w:t>
      </w:r>
      <w:r w:rsidR="000E1B1B">
        <w:t>[14]</w:t>
      </w:r>
      <w:r w:rsidR="009F00DF">
        <w:t>.</w:t>
      </w:r>
    </w:p>
    <w:p w14:paraId="4920B28E" w14:textId="5F21F200" w:rsidR="00732B6F" w:rsidRDefault="00732B6F" w:rsidP="00CF18C5">
      <w:pPr>
        <w:spacing w:after="120" w:line="480" w:lineRule="auto"/>
        <w:jc w:val="both"/>
      </w:pPr>
    </w:p>
    <w:p w14:paraId="5AD49A0C" w14:textId="77777777" w:rsidR="00537902" w:rsidRDefault="00732B6F" w:rsidP="00CF18C5">
      <w:pPr>
        <w:spacing w:after="120" w:line="480" w:lineRule="auto"/>
        <w:jc w:val="both"/>
      </w:pPr>
      <w:r>
        <w:t xml:space="preserve">Table 3. </w:t>
      </w:r>
      <w:r w:rsidR="00FE3F97">
        <w:t>Name and Chemical Abstract Service (CAS) Number</w:t>
      </w:r>
      <w:r>
        <w:t xml:space="preserve"> of the triazole </w:t>
      </w:r>
      <w:r w:rsidR="00F42F1E">
        <w:t xml:space="preserve">and imidazole </w:t>
      </w:r>
      <w:r>
        <w:t>categor</w:t>
      </w:r>
      <w:r w:rsidR="00F42F1E">
        <w:t xml:space="preserve">ies, with associated </w:t>
      </w:r>
      <w:r>
        <w:t>NOAEL values</w:t>
      </w:r>
      <w:r w:rsidR="00F42F1E">
        <w:t>, considered in this study</w:t>
      </w:r>
      <w:r>
        <w:t xml:space="preserve">. </w:t>
      </w:r>
    </w:p>
    <w:tbl>
      <w:tblPr>
        <w:tblStyle w:val="TableGrid"/>
        <w:tblW w:w="9180" w:type="dxa"/>
        <w:tblLayout w:type="fixed"/>
        <w:tblLook w:val="04A0" w:firstRow="1" w:lastRow="0" w:firstColumn="1" w:lastColumn="0" w:noHBand="0" w:noVBand="1"/>
      </w:tblPr>
      <w:tblGrid>
        <w:gridCol w:w="1526"/>
        <w:gridCol w:w="1304"/>
        <w:gridCol w:w="3374"/>
        <w:gridCol w:w="1417"/>
        <w:gridCol w:w="1559"/>
      </w:tblGrid>
      <w:tr w:rsidR="00537902" w14:paraId="4649A468" w14:textId="77777777" w:rsidTr="004B7143">
        <w:tc>
          <w:tcPr>
            <w:tcW w:w="2830" w:type="dxa"/>
            <w:gridSpan w:val="2"/>
          </w:tcPr>
          <w:p w14:paraId="2926A876" w14:textId="77777777" w:rsidR="00537902" w:rsidRDefault="00537902" w:rsidP="00CF18C5">
            <w:pPr>
              <w:spacing w:after="120" w:line="480" w:lineRule="auto"/>
              <w:jc w:val="center"/>
            </w:pPr>
            <w:r>
              <w:t>Name and CAS Number</w:t>
            </w:r>
          </w:p>
        </w:tc>
        <w:tc>
          <w:tcPr>
            <w:tcW w:w="3374" w:type="dxa"/>
          </w:tcPr>
          <w:p w14:paraId="4B197223" w14:textId="77777777" w:rsidR="00537902" w:rsidRDefault="00537902" w:rsidP="00CF18C5">
            <w:pPr>
              <w:spacing w:after="120" w:line="480" w:lineRule="auto"/>
              <w:jc w:val="center"/>
            </w:pPr>
            <w:r>
              <w:t>Structure</w:t>
            </w:r>
          </w:p>
        </w:tc>
        <w:tc>
          <w:tcPr>
            <w:tcW w:w="1417" w:type="dxa"/>
          </w:tcPr>
          <w:p w14:paraId="2A3C7631" w14:textId="77777777" w:rsidR="00537902" w:rsidRDefault="00537902" w:rsidP="00CF18C5">
            <w:pPr>
              <w:spacing w:after="120" w:line="480" w:lineRule="auto"/>
              <w:jc w:val="center"/>
            </w:pPr>
            <w:r>
              <w:t>NOAEL values (mg/kg/day)</w:t>
            </w:r>
          </w:p>
        </w:tc>
        <w:tc>
          <w:tcPr>
            <w:tcW w:w="1559" w:type="dxa"/>
          </w:tcPr>
          <w:p w14:paraId="6C8F0898" w14:textId="77777777" w:rsidR="00537902" w:rsidRDefault="00537902" w:rsidP="00CF18C5">
            <w:pPr>
              <w:spacing w:after="120" w:line="480" w:lineRule="auto"/>
              <w:jc w:val="center"/>
            </w:pPr>
            <w:r>
              <w:t>Reference for NOAEL value</w:t>
            </w:r>
          </w:p>
        </w:tc>
      </w:tr>
      <w:tr w:rsidR="00761751" w14:paraId="1E2EB7B9" w14:textId="77777777" w:rsidTr="004B7143">
        <w:trPr>
          <w:trHeight w:val="161"/>
        </w:trPr>
        <w:tc>
          <w:tcPr>
            <w:tcW w:w="9180" w:type="dxa"/>
            <w:gridSpan w:val="5"/>
          </w:tcPr>
          <w:p w14:paraId="54C82B37" w14:textId="77777777" w:rsidR="00761751" w:rsidRDefault="00761751" w:rsidP="00A83AB4">
            <w:pPr>
              <w:spacing w:after="120" w:line="480" w:lineRule="auto"/>
              <w:jc w:val="both"/>
            </w:pPr>
          </w:p>
        </w:tc>
      </w:tr>
      <w:tr w:rsidR="00E26483" w14:paraId="759B380F" w14:textId="77777777" w:rsidTr="004B7143">
        <w:tc>
          <w:tcPr>
            <w:tcW w:w="9180" w:type="dxa"/>
            <w:gridSpan w:val="5"/>
          </w:tcPr>
          <w:p w14:paraId="1377CA5E" w14:textId="3F5369C6" w:rsidR="00E26483" w:rsidRDefault="00E26483" w:rsidP="00A83AB4">
            <w:pPr>
              <w:spacing w:after="120" w:line="480" w:lineRule="auto"/>
              <w:jc w:val="both"/>
            </w:pPr>
            <w:r w:rsidRPr="00D362E3">
              <w:rPr>
                <w:b/>
                <w:bCs/>
              </w:rPr>
              <w:t>Target Molecule</w:t>
            </w:r>
          </w:p>
        </w:tc>
      </w:tr>
      <w:tr w:rsidR="00761751" w14:paraId="46F49C26" w14:textId="77777777" w:rsidTr="004B7143">
        <w:tc>
          <w:tcPr>
            <w:tcW w:w="9180" w:type="dxa"/>
            <w:gridSpan w:val="5"/>
          </w:tcPr>
          <w:p w14:paraId="3548DA89" w14:textId="77777777" w:rsidR="00761751" w:rsidRPr="00D362E3" w:rsidRDefault="00761751" w:rsidP="00A83AB4">
            <w:pPr>
              <w:spacing w:after="120" w:line="480" w:lineRule="auto"/>
              <w:jc w:val="both"/>
              <w:rPr>
                <w:b/>
                <w:bCs/>
              </w:rPr>
            </w:pPr>
          </w:p>
        </w:tc>
      </w:tr>
      <w:tr w:rsidR="00537902" w14:paraId="36595086" w14:textId="77777777" w:rsidTr="002356EC">
        <w:tc>
          <w:tcPr>
            <w:tcW w:w="2830" w:type="dxa"/>
            <w:gridSpan w:val="2"/>
            <w:vAlign w:val="center"/>
          </w:tcPr>
          <w:p w14:paraId="67153E42" w14:textId="42EF93A8" w:rsidR="00337EEF" w:rsidRDefault="00537902" w:rsidP="00A83AB4">
            <w:pPr>
              <w:spacing w:after="120" w:line="480" w:lineRule="auto"/>
              <w:contextualSpacing/>
              <w:jc w:val="center"/>
            </w:pPr>
            <w:r>
              <w:t>Tetraconazole</w:t>
            </w:r>
          </w:p>
          <w:p w14:paraId="431D9992" w14:textId="036B8CD7" w:rsidR="00537902" w:rsidRDefault="00537902" w:rsidP="00A83AB4">
            <w:pPr>
              <w:spacing w:after="120" w:line="480" w:lineRule="auto"/>
              <w:contextualSpacing/>
              <w:jc w:val="center"/>
            </w:pPr>
            <w:r>
              <w:t>112281-77-3</w:t>
            </w:r>
          </w:p>
        </w:tc>
        <w:tc>
          <w:tcPr>
            <w:tcW w:w="3374" w:type="dxa"/>
            <w:vAlign w:val="center"/>
          </w:tcPr>
          <w:p w14:paraId="61994323" w14:textId="46FC577B" w:rsidR="00537902" w:rsidRDefault="0047085F" w:rsidP="00A83AB4">
            <w:pPr>
              <w:spacing w:after="120" w:line="480" w:lineRule="auto"/>
              <w:contextualSpacing/>
              <w:jc w:val="center"/>
            </w:pPr>
            <w:r w:rsidRPr="0047085F">
              <w:rPr>
                <w:noProof/>
                <w:lang w:eastAsia="en-GB"/>
              </w:rPr>
              <w:drawing>
                <wp:inline distT="0" distB="0" distL="0" distR="0" wp14:anchorId="59B4F701" wp14:editId="0E74BBBB">
                  <wp:extent cx="1603749" cy="1296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749" cy="1296000"/>
                          </a:xfrm>
                          <a:prstGeom prst="rect">
                            <a:avLst/>
                          </a:prstGeom>
                          <a:noFill/>
                          <a:ln>
                            <a:noFill/>
                          </a:ln>
                        </pic:spPr>
                      </pic:pic>
                    </a:graphicData>
                  </a:graphic>
                </wp:inline>
              </w:drawing>
            </w:r>
          </w:p>
        </w:tc>
        <w:tc>
          <w:tcPr>
            <w:tcW w:w="1417" w:type="dxa"/>
            <w:vAlign w:val="center"/>
          </w:tcPr>
          <w:p w14:paraId="4FB19265" w14:textId="77777777" w:rsidR="00537902" w:rsidRPr="00E26483" w:rsidRDefault="00537902" w:rsidP="00A83AB4">
            <w:pPr>
              <w:spacing w:after="120" w:line="480" w:lineRule="auto"/>
              <w:contextualSpacing/>
              <w:jc w:val="center"/>
            </w:pPr>
            <w:r w:rsidRPr="00E26483">
              <w:t>4</w:t>
            </w:r>
          </w:p>
        </w:tc>
        <w:tc>
          <w:tcPr>
            <w:tcW w:w="1559" w:type="dxa"/>
            <w:vAlign w:val="center"/>
          </w:tcPr>
          <w:p w14:paraId="6A4A101E" w14:textId="26A75363" w:rsidR="00537902" w:rsidRPr="00E26483" w:rsidRDefault="00E26483" w:rsidP="00A83AB4">
            <w:pPr>
              <w:spacing w:after="120" w:line="480" w:lineRule="auto"/>
              <w:contextualSpacing/>
              <w:jc w:val="center"/>
            </w:pPr>
            <w:r w:rsidRPr="00E26483">
              <w:t>EFSA</w:t>
            </w:r>
            <w:r w:rsidR="000E1B1B">
              <w:t xml:space="preserve"> [</w:t>
            </w:r>
            <w:r w:rsidR="00EB3463">
              <w:t>19</w:t>
            </w:r>
            <w:r w:rsidR="000E1B1B">
              <w:t>]</w:t>
            </w:r>
          </w:p>
        </w:tc>
      </w:tr>
      <w:tr w:rsidR="00E26483" w14:paraId="43B2DAA3" w14:textId="77777777" w:rsidTr="004B7143">
        <w:tc>
          <w:tcPr>
            <w:tcW w:w="9180" w:type="dxa"/>
            <w:gridSpan w:val="5"/>
          </w:tcPr>
          <w:p w14:paraId="62D29534" w14:textId="77777777" w:rsidR="00E26483" w:rsidRDefault="00E26483" w:rsidP="00A83AB4">
            <w:pPr>
              <w:spacing w:after="120" w:line="480" w:lineRule="auto"/>
            </w:pPr>
          </w:p>
        </w:tc>
      </w:tr>
      <w:tr w:rsidR="00761751" w14:paraId="26F9B636" w14:textId="3E7A9AC9" w:rsidTr="004B7143">
        <w:tc>
          <w:tcPr>
            <w:tcW w:w="9180" w:type="dxa"/>
            <w:gridSpan w:val="5"/>
          </w:tcPr>
          <w:p w14:paraId="5EA6BCAD" w14:textId="3ABB3217" w:rsidR="00761751" w:rsidRDefault="00761751" w:rsidP="00A83AB4">
            <w:pPr>
              <w:spacing w:after="120" w:line="480" w:lineRule="auto"/>
            </w:pPr>
            <w:r w:rsidRPr="00D362E3">
              <w:rPr>
                <w:b/>
                <w:bCs/>
              </w:rPr>
              <w:t>Source Molecules (Triazole category)</w:t>
            </w:r>
          </w:p>
        </w:tc>
      </w:tr>
      <w:tr w:rsidR="00761751" w14:paraId="114A45B1" w14:textId="77777777" w:rsidTr="004B7143">
        <w:tc>
          <w:tcPr>
            <w:tcW w:w="9180" w:type="dxa"/>
            <w:gridSpan w:val="5"/>
          </w:tcPr>
          <w:p w14:paraId="250D7B92" w14:textId="77777777" w:rsidR="00761751" w:rsidRPr="00D362E3" w:rsidRDefault="00761751" w:rsidP="00A83AB4">
            <w:pPr>
              <w:spacing w:after="120" w:line="480" w:lineRule="auto"/>
              <w:rPr>
                <w:b/>
                <w:bCs/>
              </w:rPr>
            </w:pPr>
          </w:p>
        </w:tc>
      </w:tr>
      <w:tr w:rsidR="00537902" w14:paraId="1F72483D" w14:textId="77777777" w:rsidTr="002356EC">
        <w:trPr>
          <w:trHeight w:val="1644"/>
        </w:trPr>
        <w:tc>
          <w:tcPr>
            <w:tcW w:w="2830" w:type="dxa"/>
            <w:gridSpan w:val="2"/>
            <w:vAlign w:val="center"/>
          </w:tcPr>
          <w:p w14:paraId="5C37F680" w14:textId="5810C74C" w:rsidR="00337EEF" w:rsidRDefault="00537902" w:rsidP="00A83AB4">
            <w:pPr>
              <w:spacing w:after="120" w:line="480" w:lineRule="auto"/>
              <w:contextualSpacing/>
              <w:jc w:val="center"/>
            </w:pPr>
            <w:r>
              <w:t>Hexaconazole</w:t>
            </w:r>
          </w:p>
          <w:p w14:paraId="27D68615" w14:textId="478A9A35" w:rsidR="00537902" w:rsidRDefault="00537902" w:rsidP="00A83AB4">
            <w:pPr>
              <w:spacing w:after="120" w:line="480" w:lineRule="auto"/>
              <w:contextualSpacing/>
              <w:jc w:val="center"/>
            </w:pPr>
            <w:r>
              <w:t>79983-71-4</w:t>
            </w:r>
          </w:p>
        </w:tc>
        <w:tc>
          <w:tcPr>
            <w:tcW w:w="3374" w:type="dxa"/>
            <w:vAlign w:val="center"/>
          </w:tcPr>
          <w:p w14:paraId="6BE28D65" w14:textId="72EDFEC8" w:rsidR="00537902" w:rsidRDefault="0047085F" w:rsidP="00A83AB4">
            <w:pPr>
              <w:spacing w:after="120" w:line="480" w:lineRule="auto"/>
              <w:contextualSpacing/>
              <w:jc w:val="center"/>
            </w:pPr>
            <w:r w:rsidRPr="0047085F">
              <w:rPr>
                <w:noProof/>
                <w:lang w:eastAsia="en-GB"/>
              </w:rPr>
              <w:drawing>
                <wp:inline distT="0" distB="0" distL="0" distR="0" wp14:anchorId="2F5429F4" wp14:editId="4ADA53AD">
                  <wp:extent cx="1549086" cy="1008000"/>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086" cy="1008000"/>
                          </a:xfrm>
                          <a:prstGeom prst="rect">
                            <a:avLst/>
                          </a:prstGeom>
                          <a:noFill/>
                          <a:ln>
                            <a:noFill/>
                          </a:ln>
                        </pic:spPr>
                      </pic:pic>
                    </a:graphicData>
                  </a:graphic>
                </wp:inline>
              </w:drawing>
            </w:r>
          </w:p>
        </w:tc>
        <w:tc>
          <w:tcPr>
            <w:tcW w:w="1417" w:type="dxa"/>
            <w:vAlign w:val="center"/>
          </w:tcPr>
          <w:p w14:paraId="6D575D9D" w14:textId="77777777" w:rsidR="00537902" w:rsidRPr="00E26483" w:rsidRDefault="00537902" w:rsidP="00A83AB4">
            <w:pPr>
              <w:spacing w:after="120" w:line="480" w:lineRule="auto"/>
              <w:contextualSpacing/>
              <w:jc w:val="center"/>
            </w:pPr>
            <w:r w:rsidRPr="00E26483">
              <w:rPr>
                <w:rFonts w:ascii="Calibri" w:eastAsia="Times New Roman" w:hAnsi="Calibri" w:cs="Calibri"/>
                <w:lang w:eastAsia="en-GB"/>
              </w:rPr>
              <w:t>2.5</w:t>
            </w:r>
          </w:p>
        </w:tc>
        <w:tc>
          <w:tcPr>
            <w:tcW w:w="1559" w:type="dxa"/>
            <w:vAlign w:val="center"/>
          </w:tcPr>
          <w:p w14:paraId="676C27E9" w14:textId="7C36D11B" w:rsidR="00537902" w:rsidRDefault="00CF1F9D" w:rsidP="00A83AB4">
            <w:pPr>
              <w:spacing w:after="120" w:line="480" w:lineRule="auto"/>
              <w:contextualSpacing/>
              <w:jc w:val="center"/>
              <w:rPr>
                <w:rFonts w:ascii="Calibri" w:eastAsia="Times New Roman" w:hAnsi="Calibri" w:cs="Calibri"/>
                <w:lang w:val="pt-BR" w:eastAsia="pt-BR"/>
              </w:rPr>
            </w:pPr>
            <w:r w:rsidRPr="00CF1F9D">
              <w:rPr>
                <w:rFonts w:ascii="Calibri" w:eastAsia="Times New Roman" w:hAnsi="Calibri" w:cs="Calibri"/>
                <w:lang w:val="pt-BR" w:eastAsia="pt-BR"/>
              </w:rPr>
              <w:t xml:space="preserve">US </w:t>
            </w:r>
            <w:r w:rsidR="00537902" w:rsidRPr="00CF1F9D">
              <w:rPr>
                <w:rFonts w:ascii="Calibri" w:eastAsia="Times New Roman" w:hAnsi="Calibri" w:cs="Calibri"/>
                <w:lang w:val="pt-BR" w:eastAsia="pt-BR"/>
              </w:rPr>
              <w:t>EPA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20</w:t>
            </w:r>
            <w:r w:rsidR="000E1B1B">
              <w:rPr>
                <w:rFonts w:ascii="Calibri" w:eastAsia="Times New Roman" w:hAnsi="Calibri" w:cs="Calibri"/>
                <w:lang w:val="pt-BR" w:eastAsia="pt-BR"/>
              </w:rPr>
              <w:t>]</w:t>
            </w:r>
          </w:p>
          <w:p w14:paraId="4BAF4EE3" w14:textId="0C2E4DD2" w:rsidR="004B29D1" w:rsidRPr="00CF1F9D" w:rsidRDefault="004B29D1" w:rsidP="00A83AB4">
            <w:pPr>
              <w:spacing w:after="120" w:line="480" w:lineRule="auto"/>
              <w:contextualSpacing/>
              <w:jc w:val="center"/>
            </w:pPr>
          </w:p>
        </w:tc>
      </w:tr>
      <w:tr w:rsidR="00537902" w14:paraId="3221E70B" w14:textId="77777777" w:rsidTr="002356EC">
        <w:trPr>
          <w:trHeight w:val="1587"/>
        </w:trPr>
        <w:tc>
          <w:tcPr>
            <w:tcW w:w="2830" w:type="dxa"/>
            <w:gridSpan w:val="2"/>
            <w:vAlign w:val="center"/>
          </w:tcPr>
          <w:p w14:paraId="7E4A039B"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Bitertanol</w:t>
            </w:r>
          </w:p>
          <w:p w14:paraId="78793B08" w14:textId="77777777" w:rsidR="00537902" w:rsidRPr="00CF3A31" w:rsidRDefault="00537902" w:rsidP="00A83AB4">
            <w:pPr>
              <w:spacing w:after="120" w:line="480" w:lineRule="auto"/>
              <w:contextualSpacing/>
              <w:jc w:val="center"/>
              <w:rPr>
                <w:i/>
                <w:iCs/>
                <w:highlight w:val="yellow"/>
              </w:rPr>
            </w:pPr>
            <w:r w:rsidRPr="007F5DE8">
              <w:rPr>
                <w:rFonts w:ascii="Calibri" w:eastAsia="Times New Roman" w:hAnsi="Calibri" w:cs="Calibri"/>
                <w:color w:val="000000"/>
                <w:lang w:eastAsia="en-GB"/>
              </w:rPr>
              <w:t>55179-31-2</w:t>
            </w:r>
          </w:p>
        </w:tc>
        <w:tc>
          <w:tcPr>
            <w:tcW w:w="3374" w:type="dxa"/>
            <w:vAlign w:val="center"/>
          </w:tcPr>
          <w:p w14:paraId="5DDA8722" w14:textId="77777777" w:rsidR="00537902" w:rsidRDefault="00537902" w:rsidP="00A83AB4">
            <w:pPr>
              <w:spacing w:after="120" w:line="480" w:lineRule="auto"/>
              <w:contextualSpacing/>
              <w:jc w:val="center"/>
            </w:pPr>
            <w:r>
              <w:rPr>
                <w:rFonts w:ascii="Calibri" w:eastAsia="Times New Roman" w:hAnsi="Calibri" w:cs="Calibri"/>
                <w:noProof/>
                <w:color w:val="000000"/>
                <w:lang w:eastAsia="en-GB"/>
              </w:rPr>
              <w:drawing>
                <wp:inline distT="0" distB="0" distL="0" distR="0" wp14:anchorId="26523078" wp14:editId="5D4CD07A">
                  <wp:extent cx="1786501" cy="97155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4829" cy="1003270"/>
                          </a:xfrm>
                          <a:prstGeom prst="rect">
                            <a:avLst/>
                          </a:prstGeom>
                          <a:noFill/>
                        </pic:spPr>
                      </pic:pic>
                    </a:graphicData>
                  </a:graphic>
                </wp:inline>
              </w:drawing>
            </w:r>
          </w:p>
        </w:tc>
        <w:tc>
          <w:tcPr>
            <w:tcW w:w="1417" w:type="dxa"/>
            <w:vAlign w:val="center"/>
          </w:tcPr>
          <w:p w14:paraId="237F0C7A" w14:textId="77777777" w:rsidR="00537902" w:rsidRDefault="00537902" w:rsidP="00A83AB4">
            <w:pPr>
              <w:spacing w:after="120" w:line="480" w:lineRule="auto"/>
              <w:contextualSpacing/>
              <w:jc w:val="center"/>
            </w:pPr>
            <w:r>
              <w:rPr>
                <w:rFonts w:ascii="Calibri" w:eastAsia="Times New Roman" w:hAnsi="Calibri" w:cs="Calibri"/>
                <w:lang w:val="pt-BR" w:eastAsia="pt-BR"/>
              </w:rPr>
              <w:t>8</w:t>
            </w:r>
          </w:p>
        </w:tc>
        <w:tc>
          <w:tcPr>
            <w:tcW w:w="1559" w:type="dxa"/>
            <w:vAlign w:val="center"/>
          </w:tcPr>
          <w:p w14:paraId="5C0E7817" w14:textId="6643DB13" w:rsidR="00537902" w:rsidRDefault="00537902" w:rsidP="00A83AB4">
            <w:pPr>
              <w:spacing w:after="120" w:line="480" w:lineRule="auto"/>
              <w:contextualSpacing/>
              <w:jc w:val="center"/>
            </w:pPr>
            <w:r w:rsidRPr="00076A1B">
              <w:rPr>
                <w:rFonts w:ascii="Calibri" w:eastAsia="Times New Roman" w:hAnsi="Calibri" w:cs="Calibri"/>
                <w:lang w:val="pt-BR" w:eastAsia="pt-BR"/>
              </w:rPr>
              <w:t>JMPR</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21</w:t>
            </w:r>
            <w:r w:rsidR="000E1B1B">
              <w:rPr>
                <w:rFonts w:ascii="Calibri" w:eastAsia="Times New Roman" w:hAnsi="Calibri" w:cs="Calibri"/>
                <w:lang w:val="pt-BR" w:eastAsia="pt-BR"/>
              </w:rPr>
              <w:t>]</w:t>
            </w:r>
          </w:p>
        </w:tc>
      </w:tr>
      <w:tr w:rsidR="00537902" w14:paraId="459976FF" w14:textId="77777777" w:rsidTr="002356EC">
        <w:trPr>
          <w:trHeight w:val="1814"/>
        </w:trPr>
        <w:tc>
          <w:tcPr>
            <w:tcW w:w="2830" w:type="dxa"/>
            <w:gridSpan w:val="2"/>
            <w:vAlign w:val="center"/>
          </w:tcPr>
          <w:p w14:paraId="59A95EEC"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Cyproconazole</w:t>
            </w:r>
          </w:p>
          <w:p w14:paraId="51AB59FA" w14:textId="77777777" w:rsidR="00537902" w:rsidRPr="00CF3A31" w:rsidRDefault="00537902" w:rsidP="00A83AB4">
            <w:pPr>
              <w:spacing w:after="120" w:line="480" w:lineRule="auto"/>
              <w:contextualSpacing/>
              <w:jc w:val="center"/>
              <w:rPr>
                <w:highlight w:val="yellow"/>
              </w:rPr>
            </w:pPr>
            <w:r w:rsidRPr="007F5DE8">
              <w:rPr>
                <w:rFonts w:ascii="Calibri" w:eastAsia="Times New Roman" w:hAnsi="Calibri" w:cs="Calibri"/>
                <w:color w:val="000000"/>
                <w:lang w:eastAsia="en-GB"/>
              </w:rPr>
              <w:t>94361-06-5</w:t>
            </w:r>
          </w:p>
        </w:tc>
        <w:tc>
          <w:tcPr>
            <w:tcW w:w="3374" w:type="dxa"/>
            <w:vAlign w:val="center"/>
          </w:tcPr>
          <w:p w14:paraId="35A7A848"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1C6AEA8F" wp14:editId="11A15675">
                  <wp:extent cx="1552575" cy="1127772"/>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1598565" cy="1161178"/>
                          </a:xfrm>
                          <a:prstGeom prst="rect">
                            <a:avLst/>
                          </a:prstGeom>
                        </pic:spPr>
                      </pic:pic>
                    </a:graphicData>
                  </a:graphic>
                </wp:inline>
              </w:drawing>
            </w:r>
          </w:p>
        </w:tc>
        <w:tc>
          <w:tcPr>
            <w:tcW w:w="1417" w:type="dxa"/>
            <w:vAlign w:val="center"/>
          </w:tcPr>
          <w:p w14:paraId="7BEFB189" w14:textId="77777777" w:rsidR="00537902" w:rsidRDefault="00537902" w:rsidP="00A83AB4">
            <w:pPr>
              <w:spacing w:after="120" w:line="480" w:lineRule="auto"/>
              <w:contextualSpacing/>
              <w:jc w:val="center"/>
            </w:pPr>
            <w:r>
              <w:rPr>
                <w:rFonts w:ascii="Calibri" w:eastAsia="Times New Roman" w:hAnsi="Calibri" w:cs="Calibri"/>
                <w:lang w:val="pt-BR" w:eastAsia="pt-BR"/>
              </w:rPr>
              <w:t>6.4</w:t>
            </w:r>
          </w:p>
        </w:tc>
        <w:tc>
          <w:tcPr>
            <w:tcW w:w="1559" w:type="dxa"/>
            <w:vAlign w:val="center"/>
          </w:tcPr>
          <w:p w14:paraId="357ADDBD" w14:textId="1FD4055D" w:rsidR="00537902" w:rsidRDefault="00537902" w:rsidP="00A83AB4">
            <w:pPr>
              <w:spacing w:after="120" w:line="480" w:lineRule="auto"/>
              <w:contextualSpacing/>
              <w:jc w:val="center"/>
            </w:pPr>
            <w:r>
              <w:rPr>
                <w:rFonts w:ascii="Calibri" w:eastAsia="Times New Roman" w:hAnsi="Calibri" w:cs="Calibri"/>
                <w:lang w:val="pt-BR" w:eastAsia="pt-BR"/>
              </w:rPr>
              <w:t>EFSA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22</w:t>
            </w:r>
            <w:r w:rsidR="000E1B1B">
              <w:rPr>
                <w:rFonts w:ascii="Calibri" w:eastAsia="Times New Roman" w:hAnsi="Calibri" w:cs="Calibri"/>
                <w:lang w:val="pt-BR" w:eastAsia="pt-BR"/>
              </w:rPr>
              <w:t>]</w:t>
            </w:r>
          </w:p>
        </w:tc>
      </w:tr>
      <w:tr w:rsidR="00537902" w14:paraId="506684D6" w14:textId="77777777" w:rsidTr="002356EC">
        <w:trPr>
          <w:trHeight w:val="1587"/>
        </w:trPr>
        <w:tc>
          <w:tcPr>
            <w:tcW w:w="2830" w:type="dxa"/>
            <w:gridSpan w:val="2"/>
            <w:vAlign w:val="center"/>
          </w:tcPr>
          <w:p w14:paraId="2B76FE96"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Difenoconazole</w:t>
            </w:r>
          </w:p>
          <w:p w14:paraId="0F119431" w14:textId="77777777" w:rsidR="00537902" w:rsidRPr="00CF3A31" w:rsidRDefault="00537902" w:rsidP="00A83AB4">
            <w:pPr>
              <w:spacing w:after="120" w:line="480" w:lineRule="auto"/>
              <w:contextualSpacing/>
              <w:jc w:val="center"/>
              <w:rPr>
                <w:i/>
                <w:iCs/>
                <w:highlight w:val="yellow"/>
              </w:rPr>
            </w:pPr>
            <w:r w:rsidRPr="007F5DE8">
              <w:rPr>
                <w:rFonts w:ascii="Calibri" w:eastAsia="Times New Roman" w:hAnsi="Calibri" w:cs="Calibri"/>
                <w:color w:val="000000"/>
                <w:lang w:eastAsia="en-GB"/>
              </w:rPr>
              <w:t>119446-68-3</w:t>
            </w:r>
          </w:p>
        </w:tc>
        <w:tc>
          <w:tcPr>
            <w:tcW w:w="3374" w:type="dxa"/>
            <w:vAlign w:val="center"/>
          </w:tcPr>
          <w:p w14:paraId="306ECB28"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5F9AD60C" wp14:editId="6CAD0E9C">
                  <wp:extent cx="1951570" cy="84772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a:stretch>
                            <a:fillRect/>
                          </a:stretch>
                        </pic:blipFill>
                        <pic:spPr>
                          <a:xfrm>
                            <a:off x="0" y="0"/>
                            <a:ext cx="2008863" cy="872612"/>
                          </a:xfrm>
                          <a:prstGeom prst="rect">
                            <a:avLst/>
                          </a:prstGeom>
                        </pic:spPr>
                      </pic:pic>
                    </a:graphicData>
                  </a:graphic>
                </wp:inline>
              </w:drawing>
            </w:r>
          </w:p>
        </w:tc>
        <w:tc>
          <w:tcPr>
            <w:tcW w:w="1417" w:type="dxa"/>
            <w:vAlign w:val="center"/>
          </w:tcPr>
          <w:p w14:paraId="25748F94" w14:textId="77777777" w:rsidR="00537902" w:rsidRDefault="00537902" w:rsidP="00A83AB4">
            <w:pPr>
              <w:spacing w:after="120" w:line="480" w:lineRule="auto"/>
              <w:contextualSpacing/>
              <w:jc w:val="center"/>
            </w:pPr>
            <w:r>
              <w:rPr>
                <w:rFonts w:ascii="Calibri" w:eastAsia="Times New Roman" w:hAnsi="Calibri" w:cs="Calibri"/>
                <w:lang w:val="pt-BR" w:eastAsia="pt-BR"/>
              </w:rPr>
              <w:t>20</w:t>
            </w:r>
          </w:p>
        </w:tc>
        <w:tc>
          <w:tcPr>
            <w:tcW w:w="1559" w:type="dxa"/>
            <w:vAlign w:val="center"/>
          </w:tcPr>
          <w:p w14:paraId="03B4F6A3" w14:textId="3A1E9EA9" w:rsidR="00537902" w:rsidRDefault="00537902" w:rsidP="00A83AB4">
            <w:pPr>
              <w:spacing w:after="120" w:line="480" w:lineRule="auto"/>
              <w:contextualSpacing/>
              <w:jc w:val="center"/>
            </w:pPr>
            <w:r w:rsidRPr="00076A1B">
              <w:rPr>
                <w:rFonts w:ascii="Calibri" w:eastAsia="Times New Roman" w:hAnsi="Calibri" w:cs="Calibri"/>
                <w:lang w:val="pt-BR" w:eastAsia="pt-BR"/>
              </w:rPr>
              <w:t>E</w:t>
            </w:r>
            <w:r>
              <w:rPr>
                <w:rFonts w:ascii="Calibri" w:eastAsia="Times New Roman" w:hAnsi="Calibri" w:cs="Calibri"/>
                <w:lang w:val="pt-BR" w:eastAsia="pt-BR"/>
              </w:rPr>
              <w:t>FSA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23</w:t>
            </w:r>
            <w:r w:rsidR="000E1B1B">
              <w:rPr>
                <w:rFonts w:ascii="Calibri" w:eastAsia="Times New Roman" w:hAnsi="Calibri" w:cs="Calibri"/>
                <w:lang w:val="pt-BR" w:eastAsia="pt-BR"/>
              </w:rPr>
              <w:t>]</w:t>
            </w:r>
          </w:p>
        </w:tc>
      </w:tr>
      <w:tr w:rsidR="00537902" w14:paraId="175FC433" w14:textId="77777777" w:rsidTr="002356EC">
        <w:trPr>
          <w:trHeight w:val="1701"/>
        </w:trPr>
        <w:tc>
          <w:tcPr>
            <w:tcW w:w="2830" w:type="dxa"/>
            <w:gridSpan w:val="2"/>
            <w:vAlign w:val="center"/>
          </w:tcPr>
          <w:p w14:paraId="0802D35F"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Epoxiconazole</w:t>
            </w:r>
          </w:p>
          <w:p w14:paraId="6F739DE1" w14:textId="77777777" w:rsidR="00537902" w:rsidRDefault="00537902" w:rsidP="00A83AB4">
            <w:pPr>
              <w:spacing w:after="120" w:line="480" w:lineRule="auto"/>
              <w:contextualSpacing/>
              <w:jc w:val="center"/>
            </w:pPr>
            <w:r w:rsidRPr="007F5DE8">
              <w:rPr>
                <w:rFonts w:ascii="Calibri" w:eastAsia="Times New Roman" w:hAnsi="Calibri" w:cs="Calibri"/>
                <w:color w:val="000000"/>
                <w:lang w:eastAsia="en-GB"/>
              </w:rPr>
              <w:t>133855-98-8</w:t>
            </w:r>
          </w:p>
        </w:tc>
        <w:tc>
          <w:tcPr>
            <w:tcW w:w="3374" w:type="dxa"/>
            <w:vAlign w:val="center"/>
          </w:tcPr>
          <w:p w14:paraId="417CADAF"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29F083CB" wp14:editId="1B0A5D7D">
                  <wp:extent cx="1446092" cy="1009650"/>
                  <wp:effectExtent l="0" t="0" r="190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6"/>
                          <a:stretch>
                            <a:fillRect/>
                          </a:stretch>
                        </pic:blipFill>
                        <pic:spPr>
                          <a:xfrm>
                            <a:off x="0" y="0"/>
                            <a:ext cx="1481056" cy="1034061"/>
                          </a:xfrm>
                          <a:prstGeom prst="rect">
                            <a:avLst/>
                          </a:prstGeom>
                        </pic:spPr>
                      </pic:pic>
                    </a:graphicData>
                  </a:graphic>
                </wp:inline>
              </w:drawing>
            </w:r>
          </w:p>
        </w:tc>
        <w:tc>
          <w:tcPr>
            <w:tcW w:w="1417" w:type="dxa"/>
            <w:vAlign w:val="center"/>
          </w:tcPr>
          <w:p w14:paraId="671FF075" w14:textId="77777777" w:rsidR="00537902" w:rsidRDefault="00537902" w:rsidP="00A83AB4">
            <w:pPr>
              <w:spacing w:after="120" w:line="480" w:lineRule="auto"/>
              <w:contextualSpacing/>
              <w:jc w:val="center"/>
            </w:pPr>
            <w:r>
              <w:rPr>
                <w:rFonts w:ascii="Calibri" w:eastAsia="Times New Roman" w:hAnsi="Calibri" w:cs="Calibri"/>
                <w:lang w:val="pt-BR" w:eastAsia="pt-BR"/>
              </w:rPr>
              <w:t>7</w:t>
            </w:r>
          </w:p>
        </w:tc>
        <w:tc>
          <w:tcPr>
            <w:tcW w:w="1559" w:type="dxa"/>
            <w:vAlign w:val="center"/>
          </w:tcPr>
          <w:p w14:paraId="4F58A932" w14:textId="2AA0C173" w:rsidR="00537902" w:rsidRDefault="00537902" w:rsidP="00A83AB4">
            <w:pPr>
              <w:spacing w:after="120" w:line="480" w:lineRule="auto"/>
              <w:contextualSpacing/>
              <w:jc w:val="center"/>
            </w:pPr>
            <w:r>
              <w:rPr>
                <w:rFonts w:ascii="Calibri" w:eastAsia="Times New Roman" w:hAnsi="Calibri" w:cs="Calibri"/>
                <w:lang w:val="pt-BR" w:eastAsia="pt-BR"/>
              </w:rPr>
              <w:t>EFSA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24</w:t>
            </w:r>
            <w:r w:rsidR="000E1B1B">
              <w:rPr>
                <w:rFonts w:ascii="Calibri" w:eastAsia="Times New Roman" w:hAnsi="Calibri" w:cs="Calibri"/>
                <w:lang w:val="pt-BR" w:eastAsia="pt-BR"/>
              </w:rPr>
              <w:t>]</w:t>
            </w:r>
          </w:p>
        </w:tc>
      </w:tr>
      <w:tr w:rsidR="00537902" w14:paraId="630A5C2B" w14:textId="77777777" w:rsidTr="002356EC">
        <w:trPr>
          <w:trHeight w:val="1701"/>
        </w:trPr>
        <w:tc>
          <w:tcPr>
            <w:tcW w:w="2830" w:type="dxa"/>
            <w:gridSpan w:val="2"/>
            <w:vAlign w:val="center"/>
          </w:tcPr>
          <w:p w14:paraId="4FF6949F"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Fenbuconazole</w:t>
            </w:r>
          </w:p>
          <w:p w14:paraId="41B0652A" w14:textId="77777777" w:rsidR="00537902" w:rsidRDefault="00537902" w:rsidP="00A83AB4">
            <w:pPr>
              <w:spacing w:after="120" w:line="480" w:lineRule="auto"/>
              <w:contextualSpacing/>
              <w:jc w:val="center"/>
            </w:pPr>
            <w:r w:rsidRPr="007F5DE8">
              <w:rPr>
                <w:rFonts w:ascii="Calibri" w:eastAsia="Times New Roman" w:hAnsi="Calibri" w:cs="Calibri"/>
                <w:color w:val="000000"/>
                <w:lang w:eastAsia="en-GB"/>
              </w:rPr>
              <w:t>114369-43-6</w:t>
            </w:r>
          </w:p>
        </w:tc>
        <w:tc>
          <w:tcPr>
            <w:tcW w:w="3374" w:type="dxa"/>
            <w:vAlign w:val="center"/>
          </w:tcPr>
          <w:p w14:paraId="2725C816"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1C6314D2" wp14:editId="29A9F081">
                  <wp:extent cx="1508861" cy="1009650"/>
                  <wp:effectExtent l="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7"/>
                          <a:stretch>
                            <a:fillRect/>
                          </a:stretch>
                        </pic:blipFill>
                        <pic:spPr>
                          <a:xfrm>
                            <a:off x="0" y="0"/>
                            <a:ext cx="1532240" cy="1025294"/>
                          </a:xfrm>
                          <a:prstGeom prst="rect">
                            <a:avLst/>
                          </a:prstGeom>
                        </pic:spPr>
                      </pic:pic>
                    </a:graphicData>
                  </a:graphic>
                </wp:inline>
              </w:drawing>
            </w:r>
          </w:p>
        </w:tc>
        <w:tc>
          <w:tcPr>
            <w:tcW w:w="1417" w:type="dxa"/>
            <w:vAlign w:val="center"/>
          </w:tcPr>
          <w:p w14:paraId="6F79C6EF" w14:textId="77777777" w:rsidR="00537902" w:rsidRDefault="00537902" w:rsidP="00A83AB4">
            <w:pPr>
              <w:spacing w:after="120" w:line="480" w:lineRule="auto"/>
              <w:contextualSpacing/>
              <w:jc w:val="center"/>
            </w:pPr>
            <w:r w:rsidRPr="00076A1B">
              <w:rPr>
                <w:rFonts w:ascii="Calibri" w:eastAsia="Times New Roman" w:hAnsi="Calibri" w:cs="Calibri"/>
                <w:lang w:val="pt-BR" w:eastAsia="pt-BR"/>
              </w:rPr>
              <w:t>5.7</w:t>
            </w:r>
          </w:p>
        </w:tc>
        <w:tc>
          <w:tcPr>
            <w:tcW w:w="1559" w:type="dxa"/>
            <w:vAlign w:val="center"/>
          </w:tcPr>
          <w:p w14:paraId="2DD1C1F3" w14:textId="55042D94" w:rsidR="00537902" w:rsidRDefault="00537902" w:rsidP="00A83AB4">
            <w:pPr>
              <w:spacing w:after="120" w:line="480" w:lineRule="auto"/>
              <w:contextualSpacing/>
              <w:jc w:val="center"/>
            </w:pPr>
            <w:r>
              <w:rPr>
                <w:rFonts w:ascii="Calibri" w:eastAsia="Times New Roman" w:hAnsi="Calibri" w:cs="Calibri"/>
                <w:lang w:val="pt-BR" w:eastAsia="pt-BR"/>
              </w:rPr>
              <w:t>EFSA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25</w:t>
            </w:r>
            <w:r w:rsidR="000E1B1B">
              <w:rPr>
                <w:rFonts w:ascii="Calibri" w:eastAsia="Times New Roman" w:hAnsi="Calibri" w:cs="Calibri"/>
                <w:lang w:val="pt-BR" w:eastAsia="pt-BR"/>
              </w:rPr>
              <w:t>]</w:t>
            </w:r>
          </w:p>
        </w:tc>
      </w:tr>
      <w:tr w:rsidR="00537902" w14:paraId="67FE39ED" w14:textId="77777777" w:rsidTr="002356EC">
        <w:trPr>
          <w:trHeight w:val="1417"/>
        </w:trPr>
        <w:tc>
          <w:tcPr>
            <w:tcW w:w="2830" w:type="dxa"/>
            <w:gridSpan w:val="2"/>
            <w:vAlign w:val="center"/>
          </w:tcPr>
          <w:p w14:paraId="1F7ED61C"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Myclobutanil</w:t>
            </w:r>
          </w:p>
          <w:p w14:paraId="5FE8A6A5" w14:textId="77777777" w:rsidR="00537902" w:rsidRDefault="00537902" w:rsidP="00A83AB4">
            <w:pPr>
              <w:spacing w:after="120" w:line="480" w:lineRule="auto"/>
              <w:contextualSpacing/>
              <w:jc w:val="center"/>
              <w:rPr>
                <w:i/>
                <w:iCs/>
                <w:highlight w:val="yellow"/>
              </w:rPr>
            </w:pPr>
            <w:r w:rsidRPr="007F5DE8">
              <w:rPr>
                <w:rFonts w:ascii="Calibri" w:eastAsia="Times New Roman" w:hAnsi="Calibri" w:cs="Calibri"/>
                <w:color w:val="000000"/>
                <w:lang w:eastAsia="en-GB"/>
              </w:rPr>
              <w:t>88671-89-0</w:t>
            </w:r>
          </w:p>
        </w:tc>
        <w:tc>
          <w:tcPr>
            <w:tcW w:w="3374" w:type="dxa"/>
            <w:vAlign w:val="center"/>
          </w:tcPr>
          <w:p w14:paraId="7B4DE3CD"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6645CB6E" wp14:editId="1E9A2F1A">
                  <wp:extent cx="1257300" cy="753685"/>
                  <wp:effectExtent l="0" t="0" r="0"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8"/>
                          <a:stretch>
                            <a:fillRect/>
                          </a:stretch>
                        </pic:blipFill>
                        <pic:spPr>
                          <a:xfrm>
                            <a:off x="0" y="0"/>
                            <a:ext cx="1273824" cy="763591"/>
                          </a:xfrm>
                          <a:prstGeom prst="rect">
                            <a:avLst/>
                          </a:prstGeom>
                        </pic:spPr>
                      </pic:pic>
                    </a:graphicData>
                  </a:graphic>
                </wp:inline>
              </w:drawing>
            </w:r>
          </w:p>
        </w:tc>
        <w:tc>
          <w:tcPr>
            <w:tcW w:w="1417" w:type="dxa"/>
            <w:vAlign w:val="center"/>
          </w:tcPr>
          <w:p w14:paraId="762923D5" w14:textId="77777777" w:rsidR="00537902" w:rsidRDefault="00537902" w:rsidP="00A83AB4">
            <w:pPr>
              <w:spacing w:after="120" w:line="480" w:lineRule="auto"/>
              <w:contextualSpacing/>
              <w:jc w:val="center"/>
            </w:pPr>
            <w:r w:rsidRPr="00076A1B">
              <w:rPr>
                <w:rFonts w:ascii="Calibri" w:eastAsia="Times New Roman" w:hAnsi="Calibri" w:cs="Calibri"/>
                <w:lang w:val="pt-BR" w:eastAsia="pt-BR"/>
              </w:rPr>
              <w:t>51.5</w:t>
            </w:r>
          </w:p>
        </w:tc>
        <w:tc>
          <w:tcPr>
            <w:tcW w:w="1559" w:type="dxa"/>
            <w:vAlign w:val="center"/>
          </w:tcPr>
          <w:p w14:paraId="2350A608" w14:textId="1C556EEB" w:rsidR="00537902" w:rsidRPr="00C82936" w:rsidRDefault="00537902" w:rsidP="00A83AB4">
            <w:pPr>
              <w:spacing w:after="120" w:line="480" w:lineRule="auto"/>
              <w:contextualSpacing/>
              <w:jc w:val="center"/>
            </w:pPr>
            <w:r w:rsidRPr="00C82936">
              <w:rPr>
                <w:rFonts w:ascii="Calibri" w:eastAsia="Times New Roman" w:hAnsi="Calibri" w:cs="Calibri"/>
                <w:lang w:val="pt-BR" w:eastAsia="pt-BR"/>
              </w:rPr>
              <w:t>JMPR</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26</w:t>
            </w:r>
            <w:r w:rsidR="000E1B1B">
              <w:rPr>
                <w:rFonts w:ascii="Calibri" w:eastAsia="Times New Roman" w:hAnsi="Calibri" w:cs="Calibri"/>
                <w:lang w:val="pt-BR" w:eastAsia="pt-BR"/>
              </w:rPr>
              <w:t>]</w:t>
            </w:r>
          </w:p>
        </w:tc>
      </w:tr>
      <w:tr w:rsidR="00537902" w14:paraId="411F513F" w14:textId="77777777" w:rsidTr="002356EC">
        <w:trPr>
          <w:trHeight w:val="1417"/>
        </w:trPr>
        <w:tc>
          <w:tcPr>
            <w:tcW w:w="2830" w:type="dxa"/>
            <w:gridSpan w:val="2"/>
            <w:vAlign w:val="center"/>
          </w:tcPr>
          <w:p w14:paraId="1F011BB5" w14:textId="77777777" w:rsidR="00537902" w:rsidRDefault="00537902" w:rsidP="00A83AB4">
            <w:pPr>
              <w:spacing w:after="120" w:line="480" w:lineRule="auto"/>
              <w:contextualSpacing/>
              <w:jc w:val="center"/>
              <w:rPr>
                <w:rFonts w:ascii="Calibri" w:eastAsia="Times New Roman" w:hAnsi="Calibri" w:cs="Calibri"/>
                <w:color w:val="000000"/>
                <w:lang w:eastAsia="en-GB"/>
              </w:rPr>
            </w:pPr>
            <w:r w:rsidRPr="007F5DE8">
              <w:rPr>
                <w:rFonts w:ascii="Calibri" w:eastAsia="Times New Roman" w:hAnsi="Calibri" w:cs="Calibri"/>
                <w:color w:val="000000"/>
                <w:lang w:eastAsia="en-GB"/>
              </w:rPr>
              <w:t>Paclobutrazol</w:t>
            </w:r>
          </w:p>
          <w:p w14:paraId="0890A3BB" w14:textId="77777777" w:rsidR="00537902" w:rsidRDefault="00537902" w:rsidP="00A83AB4">
            <w:pPr>
              <w:spacing w:after="120" w:line="480" w:lineRule="auto"/>
              <w:contextualSpacing/>
              <w:jc w:val="center"/>
              <w:rPr>
                <w:i/>
                <w:iCs/>
                <w:highlight w:val="yellow"/>
              </w:rPr>
            </w:pPr>
            <w:r w:rsidRPr="007F5DE8">
              <w:rPr>
                <w:rFonts w:ascii="Calibri" w:eastAsia="Times New Roman" w:hAnsi="Calibri" w:cs="Calibri"/>
                <w:color w:val="000000"/>
                <w:lang w:eastAsia="en-GB"/>
              </w:rPr>
              <w:t>76738-62-0</w:t>
            </w:r>
          </w:p>
        </w:tc>
        <w:tc>
          <w:tcPr>
            <w:tcW w:w="3374" w:type="dxa"/>
            <w:vAlign w:val="center"/>
          </w:tcPr>
          <w:p w14:paraId="2FE60085"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1C0DC0C1" wp14:editId="73E5352E">
                  <wp:extent cx="1393573" cy="84772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9"/>
                          <a:stretch>
                            <a:fillRect/>
                          </a:stretch>
                        </pic:blipFill>
                        <pic:spPr>
                          <a:xfrm>
                            <a:off x="0" y="0"/>
                            <a:ext cx="1426399" cy="867693"/>
                          </a:xfrm>
                          <a:prstGeom prst="rect">
                            <a:avLst/>
                          </a:prstGeom>
                        </pic:spPr>
                      </pic:pic>
                    </a:graphicData>
                  </a:graphic>
                </wp:inline>
              </w:drawing>
            </w:r>
          </w:p>
        </w:tc>
        <w:tc>
          <w:tcPr>
            <w:tcW w:w="1417" w:type="dxa"/>
            <w:vAlign w:val="center"/>
          </w:tcPr>
          <w:p w14:paraId="25AEC203" w14:textId="77777777" w:rsidR="00537902" w:rsidRDefault="00537902" w:rsidP="00A83AB4">
            <w:pPr>
              <w:spacing w:after="120" w:line="480" w:lineRule="auto"/>
              <w:contextualSpacing/>
              <w:jc w:val="center"/>
            </w:pPr>
            <w:r>
              <w:rPr>
                <w:rFonts w:ascii="Calibri" w:eastAsia="Times New Roman" w:hAnsi="Calibri" w:cs="Calibri"/>
                <w:color w:val="000000"/>
                <w:lang w:eastAsia="en-GB"/>
              </w:rPr>
              <w:t>20</w:t>
            </w:r>
          </w:p>
        </w:tc>
        <w:tc>
          <w:tcPr>
            <w:tcW w:w="1559" w:type="dxa"/>
            <w:vAlign w:val="center"/>
          </w:tcPr>
          <w:p w14:paraId="3C55C2CF" w14:textId="71020D5A" w:rsidR="00537902" w:rsidRDefault="00537902" w:rsidP="00A83AB4">
            <w:pPr>
              <w:spacing w:after="120" w:line="480" w:lineRule="auto"/>
              <w:contextualSpacing/>
              <w:jc w:val="center"/>
            </w:pPr>
            <w:r>
              <w:rPr>
                <w:rFonts w:ascii="Calibri" w:eastAsia="Times New Roman" w:hAnsi="Calibri" w:cs="Calibri"/>
                <w:lang w:val="pt-BR" w:eastAsia="pt-BR"/>
              </w:rPr>
              <w:t>EFSA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27</w:t>
            </w:r>
            <w:r w:rsidR="000E1B1B">
              <w:rPr>
                <w:rFonts w:ascii="Calibri" w:eastAsia="Times New Roman" w:hAnsi="Calibri" w:cs="Calibri"/>
                <w:lang w:val="pt-BR" w:eastAsia="pt-BR"/>
              </w:rPr>
              <w:t>]</w:t>
            </w:r>
          </w:p>
        </w:tc>
      </w:tr>
      <w:tr w:rsidR="00537902" w14:paraId="52058CFE" w14:textId="77777777" w:rsidTr="002356EC">
        <w:trPr>
          <w:trHeight w:val="1587"/>
        </w:trPr>
        <w:tc>
          <w:tcPr>
            <w:tcW w:w="2830" w:type="dxa"/>
            <w:gridSpan w:val="2"/>
            <w:vAlign w:val="center"/>
          </w:tcPr>
          <w:p w14:paraId="687C3A46" w14:textId="77777777" w:rsidR="00537902" w:rsidRPr="00E65CC6" w:rsidRDefault="00537902" w:rsidP="00A83AB4">
            <w:pPr>
              <w:spacing w:after="120" w:line="480" w:lineRule="auto"/>
              <w:contextualSpacing/>
              <w:jc w:val="center"/>
              <w:rPr>
                <w:rFonts w:ascii="Calibri" w:eastAsia="Times New Roman" w:hAnsi="Calibri" w:cs="Calibri"/>
                <w:color w:val="000000"/>
                <w:lang w:eastAsia="en-GB"/>
              </w:rPr>
            </w:pPr>
            <w:r w:rsidRPr="00E65CC6">
              <w:rPr>
                <w:rFonts w:ascii="Calibri" w:eastAsia="Times New Roman" w:hAnsi="Calibri" w:cs="Calibri"/>
                <w:color w:val="000000"/>
                <w:lang w:eastAsia="en-GB"/>
              </w:rPr>
              <w:t>Penconazole</w:t>
            </w:r>
          </w:p>
          <w:p w14:paraId="697CB3C1" w14:textId="73B7011E" w:rsidR="00E65CC6" w:rsidRDefault="00E65CC6" w:rsidP="00A83AB4">
            <w:pPr>
              <w:spacing w:after="120" w:line="480" w:lineRule="auto"/>
              <w:contextualSpacing/>
              <w:jc w:val="center"/>
              <w:rPr>
                <w:i/>
                <w:iCs/>
                <w:highlight w:val="yellow"/>
              </w:rPr>
            </w:pPr>
            <w:r w:rsidRPr="00E65CC6">
              <w:rPr>
                <w:iCs/>
              </w:rPr>
              <w:t>66246-88-6</w:t>
            </w:r>
          </w:p>
        </w:tc>
        <w:tc>
          <w:tcPr>
            <w:tcW w:w="3374" w:type="dxa"/>
            <w:vAlign w:val="center"/>
          </w:tcPr>
          <w:p w14:paraId="7008D318"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1608C2C7" wp14:editId="221A1C33">
                  <wp:extent cx="1113127" cy="9620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a:stretch>
                            <a:fillRect/>
                          </a:stretch>
                        </pic:blipFill>
                        <pic:spPr>
                          <a:xfrm>
                            <a:off x="0" y="0"/>
                            <a:ext cx="1129061" cy="975796"/>
                          </a:xfrm>
                          <a:prstGeom prst="rect">
                            <a:avLst/>
                          </a:prstGeom>
                        </pic:spPr>
                      </pic:pic>
                    </a:graphicData>
                  </a:graphic>
                </wp:inline>
              </w:drawing>
            </w:r>
          </w:p>
        </w:tc>
        <w:tc>
          <w:tcPr>
            <w:tcW w:w="1417" w:type="dxa"/>
            <w:vAlign w:val="center"/>
          </w:tcPr>
          <w:p w14:paraId="1D9733B6" w14:textId="77777777" w:rsidR="00537902" w:rsidRDefault="00537902" w:rsidP="00A83AB4">
            <w:pPr>
              <w:spacing w:after="120" w:line="480" w:lineRule="auto"/>
              <w:contextualSpacing/>
              <w:jc w:val="center"/>
            </w:pPr>
            <w:r w:rsidRPr="00076A1B">
              <w:rPr>
                <w:rFonts w:ascii="Calibri" w:eastAsia="Times New Roman" w:hAnsi="Calibri" w:cs="Calibri"/>
                <w:lang w:val="pt-BR" w:eastAsia="pt-BR"/>
              </w:rPr>
              <w:t>25</w:t>
            </w:r>
          </w:p>
        </w:tc>
        <w:tc>
          <w:tcPr>
            <w:tcW w:w="1559" w:type="dxa"/>
            <w:vAlign w:val="center"/>
          </w:tcPr>
          <w:p w14:paraId="4CA7877C" w14:textId="45F30EB8" w:rsidR="00537902" w:rsidRDefault="00537902" w:rsidP="00A83AB4">
            <w:pPr>
              <w:spacing w:after="120" w:line="480" w:lineRule="auto"/>
              <w:contextualSpacing/>
              <w:jc w:val="center"/>
            </w:pPr>
            <w:r>
              <w:rPr>
                <w:rFonts w:ascii="Calibri" w:eastAsia="Times New Roman" w:hAnsi="Calibri" w:cs="Calibri"/>
                <w:lang w:val="pt-BR" w:eastAsia="pt-BR"/>
              </w:rPr>
              <w:t>EFSA</w:t>
            </w:r>
            <w:r w:rsidR="000E1B1B">
              <w:rPr>
                <w:rFonts w:ascii="Calibri" w:eastAsia="Times New Roman" w:hAnsi="Calibri" w:cs="Calibri"/>
                <w:lang w:val="pt-BR" w:eastAsia="pt-BR"/>
              </w:rPr>
              <w:t xml:space="preserve"> [</w:t>
            </w:r>
            <w:r w:rsidR="00EB3463">
              <w:rPr>
                <w:rFonts w:ascii="Calibri" w:eastAsia="Times New Roman" w:hAnsi="Calibri" w:cs="Calibri"/>
                <w:lang w:val="pt-BR" w:eastAsia="pt-BR"/>
              </w:rPr>
              <w:t>28</w:t>
            </w:r>
            <w:r w:rsidR="000E1B1B">
              <w:rPr>
                <w:rFonts w:ascii="Calibri" w:eastAsia="Times New Roman" w:hAnsi="Calibri" w:cs="Calibri"/>
                <w:lang w:val="pt-BR" w:eastAsia="pt-BR"/>
              </w:rPr>
              <w:t>]</w:t>
            </w:r>
          </w:p>
        </w:tc>
      </w:tr>
      <w:tr w:rsidR="00537902" w14:paraId="6B1A052B" w14:textId="77777777" w:rsidTr="002356EC">
        <w:trPr>
          <w:trHeight w:val="1587"/>
        </w:trPr>
        <w:tc>
          <w:tcPr>
            <w:tcW w:w="2830" w:type="dxa"/>
            <w:gridSpan w:val="2"/>
            <w:vAlign w:val="center"/>
          </w:tcPr>
          <w:p w14:paraId="5DD19492" w14:textId="77777777" w:rsidR="00537902" w:rsidRPr="00E65CC6" w:rsidRDefault="00537902" w:rsidP="00A83AB4">
            <w:pPr>
              <w:spacing w:after="120" w:line="480" w:lineRule="auto"/>
              <w:contextualSpacing/>
              <w:jc w:val="center"/>
              <w:rPr>
                <w:rFonts w:ascii="Calibri" w:eastAsia="Times New Roman" w:hAnsi="Calibri" w:cs="Calibri"/>
                <w:color w:val="000000"/>
                <w:lang w:eastAsia="en-GB"/>
              </w:rPr>
            </w:pPr>
            <w:r w:rsidRPr="00E65CC6">
              <w:rPr>
                <w:rFonts w:ascii="Calibri" w:eastAsia="Times New Roman" w:hAnsi="Calibri" w:cs="Calibri"/>
                <w:color w:val="000000"/>
                <w:lang w:eastAsia="en-GB"/>
              </w:rPr>
              <w:t>Propiconazole</w:t>
            </w:r>
          </w:p>
          <w:p w14:paraId="39FECA29" w14:textId="6C0C2B5F" w:rsidR="00E65CC6" w:rsidRDefault="00E65CC6" w:rsidP="00A83AB4">
            <w:pPr>
              <w:spacing w:after="120" w:line="480" w:lineRule="auto"/>
              <w:contextualSpacing/>
              <w:jc w:val="center"/>
              <w:rPr>
                <w:i/>
                <w:iCs/>
                <w:highlight w:val="yellow"/>
              </w:rPr>
            </w:pPr>
            <w:r w:rsidRPr="00E65CC6">
              <w:rPr>
                <w:iCs/>
              </w:rPr>
              <w:t>60207-90-1</w:t>
            </w:r>
          </w:p>
        </w:tc>
        <w:tc>
          <w:tcPr>
            <w:tcW w:w="3374" w:type="dxa"/>
            <w:vAlign w:val="center"/>
          </w:tcPr>
          <w:p w14:paraId="7E9E5138" w14:textId="77777777" w:rsidR="00537902" w:rsidRDefault="00537902" w:rsidP="00A83AB4">
            <w:pPr>
              <w:spacing w:after="120" w:line="480" w:lineRule="auto"/>
              <w:contextualSpacing/>
              <w:jc w:val="center"/>
            </w:pPr>
            <w:r w:rsidRPr="00E95FBC">
              <w:rPr>
                <w:rFonts w:ascii="Calibri" w:eastAsia="Times New Roman" w:hAnsi="Calibri" w:cs="Calibri"/>
                <w:noProof/>
                <w:color w:val="000000"/>
                <w:lang w:eastAsia="en-GB"/>
              </w:rPr>
              <w:drawing>
                <wp:inline distT="0" distB="0" distL="0" distR="0" wp14:anchorId="4DD37EF3" wp14:editId="6EA517D9">
                  <wp:extent cx="1364939" cy="885825"/>
                  <wp:effectExtent l="0" t="0" r="6985"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1"/>
                          <a:stretch>
                            <a:fillRect/>
                          </a:stretch>
                        </pic:blipFill>
                        <pic:spPr>
                          <a:xfrm>
                            <a:off x="0" y="0"/>
                            <a:ext cx="1394047" cy="904716"/>
                          </a:xfrm>
                          <a:prstGeom prst="rect">
                            <a:avLst/>
                          </a:prstGeom>
                        </pic:spPr>
                      </pic:pic>
                    </a:graphicData>
                  </a:graphic>
                </wp:inline>
              </w:drawing>
            </w:r>
          </w:p>
        </w:tc>
        <w:tc>
          <w:tcPr>
            <w:tcW w:w="1417" w:type="dxa"/>
            <w:vAlign w:val="center"/>
          </w:tcPr>
          <w:p w14:paraId="1A9ED8BE" w14:textId="77777777" w:rsidR="00537902" w:rsidRDefault="00537902" w:rsidP="00A83AB4">
            <w:pPr>
              <w:spacing w:after="120" w:line="480" w:lineRule="auto"/>
              <w:contextualSpacing/>
              <w:jc w:val="center"/>
            </w:pPr>
            <w:r w:rsidRPr="00076A1B">
              <w:rPr>
                <w:rFonts w:ascii="Calibri" w:eastAsia="Times New Roman" w:hAnsi="Calibri" w:cs="Calibri"/>
                <w:lang w:val="pt-BR" w:eastAsia="pt-BR"/>
              </w:rPr>
              <w:t>15.9</w:t>
            </w:r>
          </w:p>
        </w:tc>
        <w:tc>
          <w:tcPr>
            <w:tcW w:w="1559" w:type="dxa"/>
            <w:vAlign w:val="center"/>
          </w:tcPr>
          <w:p w14:paraId="5AEDAD31" w14:textId="49A552C1" w:rsidR="00537902" w:rsidRDefault="00537902" w:rsidP="00A83AB4">
            <w:pPr>
              <w:spacing w:after="120" w:line="480" w:lineRule="auto"/>
              <w:contextualSpacing/>
              <w:jc w:val="center"/>
            </w:pPr>
            <w:r>
              <w:rPr>
                <w:rFonts w:ascii="Calibri" w:eastAsia="Times New Roman" w:hAnsi="Calibri" w:cs="Calibri"/>
                <w:lang w:val="pt-BR" w:eastAsia="pt-BR"/>
              </w:rPr>
              <w:t>ECHA</w:t>
            </w:r>
            <w:r w:rsidR="00255928">
              <w:rPr>
                <w:rFonts w:ascii="Calibri" w:eastAsia="Times New Roman" w:hAnsi="Calibri" w:cs="Calibri"/>
                <w:lang w:val="pt-BR" w:eastAsia="pt-BR"/>
              </w:rPr>
              <w:t xml:space="preserve"> [</w:t>
            </w:r>
            <w:r w:rsidR="00EB3463">
              <w:rPr>
                <w:rFonts w:ascii="Calibri" w:eastAsia="Times New Roman" w:hAnsi="Calibri" w:cs="Calibri"/>
                <w:lang w:val="pt-BR" w:eastAsia="pt-BR"/>
              </w:rPr>
              <w:t>29</w:t>
            </w:r>
            <w:r w:rsidR="00255928">
              <w:rPr>
                <w:rFonts w:ascii="Calibri" w:eastAsia="Times New Roman" w:hAnsi="Calibri" w:cs="Calibri"/>
                <w:lang w:val="pt-BR" w:eastAsia="pt-BR"/>
              </w:rPr>
              <w:t>]</w:t>
            </w:r>
          </w:p>
        </w:tc>
      </w:tr>
      <w:tr w:rsidR="00537902" w14:paraId="61E37ADD" w14:textId="77777777" w:rsidTr="002356EC">
        <w:trPr>
          <w:trHeight w:val="1644"/>
        </w:trPr>
        <w:tc>
          <w:tcPr>
            <w:tcW w:w="2830" w:type="dxa"/>
            <w:gridSpan w:val="2"/>
            <w:vAlign w:val="center"/>
          </w:tcPr>
          <w:p w14:paraId="54FEC6F0" w14:textId="77777777" w:rsidR="00537902" w:rsidRPr="00E65CC6" w:rsidRDefault="00537902" w:rsidP="00A83AB4">
            <w:pPr>
              <w:spacing w:after="120" w:line="480" w:lineRule="auto"/>
              <w:contextualSpacing/>
              <w:jc w:val="center"/>
              <w:rPr>
                <w:rFonts w:ascii="Calibri" w:eastAsia="Times New Roman" w:hAnsi="Calibri" w:cs="Calibri"/>
                <w:color w:val="000000"/>
                <w:lang w:eastAsia="en-GB"/>
              </w:rPr>
            </w:pPr>
            <w:proofErr w:type="spellStart"/>
            <w:r w:rsidRPr="00E65CC6">
              <w:rPr>
                <w:rFonts w:ascii="Calibri" w:eastAsia="Times New Roman" w:hAnsi="Calibri" w:cs="Calibri"/>
                <w:color w:val="000000"/>
                <w:lang w:eastAsia="en-GB"/>
              </w:rPr>
              <w:t>Prothioconazole</w:t>
            </w:r>
            <w:proofErr w:type="spellEnd"/>
          </w:p>
          <w:p w14:paraId="604530B0" w14:textId="365DB45F" w:rsidR="00E65CC6" w:rsidRDefault="00E65CC6" w:rsidP="00A83AB4">
            <w:pPr>
              <w:spacing w:after="120" w:line="480" w:lineRule="auto"/>
              <w:contextualSpacing/>
              <w:jc w:val="center"/>
              <w:rPr>
                <w:i/>
                <w:iCs/>
                <w:highlight w:val="yellow"/>
              </w:rPr>
            </w:pPr>
            <w:r w:rsidRPr="00E65CC6">
              <w:rPr>
                <w:iCs/>
              </w:rPr>
              <w:t>178928-70-6</w:t>
            </w:r>
          </w:p>
        </w:tc>
        <w:tc>
          <w:tcPr>
            <w:tcW w:w="3374" w:type="dxa"/>
            <w:vAlign w:val="center"/>
          </w:tcPr>
          <w:p w14:paraId="5969C9B2"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0EFD3D3C" wp14:editId="0B6A0922">
                  <wp:extent cx="1435482" cy="10001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2"/>
                          <a:stretch>
                            <a:fillRect/>
                          </a:stretch>
                        </pic:blipFill>
                        <pic:spPr>
                          <a:xfrm>
                            <a:off x="0" y="0"/>
                            <a:ext cx="1459371" cy="1016769"/>
                          </a:xfrm>
                          <a:prstGeom prst="rect">
                            <a:avLst/>
                          </a:prstGeom>
                        </pic:spPr>
                      </pic:pic>
                    </a:graphicData>
                  </a:graphic>
                </wp:inline>
              </w:drawing>
            </w:r>
          </w:p>
        </w:tc>
        <w:tc>
          <w:tcPr>
            <w:tcW w:w="1417" w:type="dxa"/>
            <w:vAlign w:val="center"/>
          </w:tcPr>
          <w:p w14:paraId="4A6B91DF" w14:textId="77777777" w:rsidR="00537902" w:rsidRDefault="00537902" w:rsidP="00A83AB4">
            <w:pPr>
              <w:spacing w:after="120" w:line="480" w:lineRule="auto"/>
              <w:contextualSpacing/>
              <w:jc w:val="center"/>
            </w:pPr>
            <w:r w:rsidRPr="00076A1B">
              <w:rPr>
                <w:rFonts w:ascii="Calibri" w:eastAsia="Times New Roman" w:hAnsi="Calibri" w:cs="Calibri"/>
                <w:lang w:val="pt-BR" w:eastAsia="pt-BR"/>
              </w:rPr>
              <w:t>100</w:t>
            </w:r>
          </w:p>
        </w:tc>
        <w:tc>
          <w:tcPr>
            <w:tcW w:w="1559" w:type="dxa"/>
            <w:vAlign w:val="center"/>
          </w:tcPr>
          <w:p w14:paraId="1BC7FA8C" w14:textId="38CE4E04" w:rsidR="00537902" w:rsidRDefault="00537902" w:rsidP="00A83AB4">
            <w:pPr>
              <w:spacing w:after="120" w:line="480" w:lineRule="auto"/>
              <w:contextualSpacing/>
              <w:jc w:val="center"/>
            </w:pPr>
            <w:r w:rsidRPr="00076A1B">
              <w:rPr>
                <w:rFonts w:ascii="Calibri" w:eastAsia="Times New Roman" w:hAnsi="Calibri" w:cs="Calibri"/>
                <w:lang w:val="pt-BR" w:eastAsia="pt-BR"/>
              </w:rPr>
              <w:t>JMPR</w:t>
            </w:r>
            <w:r w:rsidR="00255928">
              <w:rPr>
                <w:rFonts w:ascii="Calibri" w:eastAsia="Times New Roman" w:hAnsi="Calibri" w:cs="Calibri"/>
                <w:lang w:val="pt-BR" w:eastAsia="pt-BR"/>
              </w:rPr>
              <w:t xml:space="preserve"> [</w:t>
            </w:r>
            <w:r w:rsidR="00EB3463">
              <w:rPr>
                <w:rFonts w:ascii="Calibri" w:eastAsia="Times New Roman" w:hAnsi="Calibri" w:cs="Calibri"/>
                <w:lang w:val="pt-BR" w:eastAsia="pt-BR"/>
              </w:rPr>
              <w:t>30</w:t>
            </w:r>
            <w:r w:rsidR="00255928">
              <w:rPr>
                <w:rFonts w:ascii="Calibri" w:eastAsia="Times New Roman" w:hAnsi="Calibri" w:cs="Calibri"/>
                <w:lang w:val="pt-BR" w:eastAsia="pt-BR"/>
              </w:rPr>
              <w:t>]</w:t>
            </w:r>
          </w:p>
        </w:tc>
      </w:tr>
      <w:tr w:rsidR="00537902" w14:paraId="7A83D873" w14:textId="77777777" w:rsidTr="002356EC">
        <w:trPr>
          <w:trHeight w:val="1644"/>
        </w:trPr>
        <w:tc>
          <w:tcPr>
            <w:tcW w:w="2830" w:type="dxa"/>
            <w:gridSpan w:val="2"/>
            <w:vAlign w:val="center"/>
          </w:tcPr>
          <w:p w14:paraId="093D01FC" w14:textId="77777777" w:rsidR="00537902" w:rsidRPr="00E65CC6" w:rsidRDefault="00537902" w:rsidP="00A83AB4">
            <w:pPr>
              <w:spacing w:after="120" w:line="480" w:lineRule="auto"/>
              <w:contextualSpacing/>
              <w:jc w:val="center"/>
              <w:rPr>
                <w:rFonts w:ascii="Calibri" w:eastAsia="Times New Roman" w:hAnsi="Calibri" w:cs="Calibri"/>
                <w:color w:val="000000"/>
                <w:lang w:eastAsia="en-GB"/>
              </w:rPr>
            </w:pPr>
            <w:r w:rsidRPr="00E65CC6">
              <w:rPr>
                <w:rFonts w:ascii="Calibri" w:eastAsia="Times New Roman" w:hAnsi="Calibri" w:cs="Calibri"/>
                <w:color w:val="000000"/>
                <w:lang w:eastAsia="en-GB"/>
              </w:rPr>
              <w:t>Tebuconazole</w:t>
            </w:r>
          </w:p>
          <w:p w14:paraId="6EED5E5A" w14:textId="52C7F528" w:rsidR="00E65CC6" w:rsidRPr="00761751" w:rsidRDefault="00E65CC6" w:rsidP="00A83AB4">
            <w:pPr>
              <w:spacing w:after="120" w:line="480" w:lineRule="auto"/>
              <w:contextualSpacing/>
              <w:jc w:val="center"/>
              <w:rPr>
                <w:iCs/>
                <w:highlight w:val="yellow"/>
              </w:rPr>
            </w:pPr>
            <w:r w:rsidRPr="00E65CC6">
              <w:rPr>
                <w:iCs/>
              </w:rPr>
              <w:t>107534-96-3</w:t>
            </w:r>
          </w:p>
        </w:tc>
        <w:tc>
          <w:tcPr>
            <w:tcW w:w="3374" w:type="dxa"/>
            <w:vAlign w:val="center"/>
          </w:tcPr>
          <w:p w14:paraId="23499C62" w14:textId="77777777" w:rsidR="00537902" w:rsidRDefault="00537902" w:rsidP="00A83AB4">
            <w:pPr>
              <w:spacing w:after="120" w:line="480" w:lineRule="auto"/>
              <w:contextualSpacing/>
              <w:jc w:val="center"/>
            </w:pPr>
            <w:r w:rsidRPr="00F24F03">
              <w:rPr>
                <w:rFonts w:ascii="Calibri" w:eastAsia="Times New Roman" w:hAnsi="Calibri" w:cs="Calibri"/>
                <w:noProof/>
                <w:color w:val="000000"/>
                <w:lang w:eastAsia="en-GB"/>
              </w:rPr>
              <w:drawing>
                <wp:inline distT="0" distB="0" distL="0" distR="0" wp14:anchorId="69A08FA4" wp14:editId="29E3BDA6">
                  <wp:extent cx="1732245" cy="952500"/>
                  <wp:effectExtent l="0" t="0" r="190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3"/>
                          <a:stretch>
                            <a:fillRect/>
                          </a:stretch>
                        </pic:blipFill>
                        <pic:spPr>
                          <a:xfrm>
                            <a:off x="0" y="0"/>
                            <a:ext cx="1790296" cy="984420"/>
                          </a:xfrm>
                          <a:prstGeom prst="rect">
                            <a:avLst/>
                          </a:prstGeom>
                        </pic:spPr>
                      </pic:pic>
                    </a:graphicData>
                  </a:graphic>
                </wp:inline>
              </w:drawing>
            </w:r>
          </w:p>
        </w:tc>
        <w:tc>
          <w:tcPr>
            <w:tcW w:w="1417" w:type="dxa"/>
            <w:vAlign w:val="center"/>
          </w:tcPr>
          <w:p w14:paraId="5A010E7A" w14:textId="77777777" w:rsidR="00537902" w:rsidRDefault="00537902" w:rsidP="00A83AB4">
            <w:pPr>
              <w:spacing w:after="120" w:line="480" w:lineRule="auto"/>
              <w:contextualSpacing/>
              <w:jc w:val="center"/>
            </w:pPr>
            <w:r>
              <w:rPr>
                <w:rFonts w:ascii="Calibri" w:eastAsia="Times New Roman" w:hAnsi="Calibri" w:cs="Calibri"/>
                <w:color w:val="000000"/>
                <w:lang w:eastAsia="en-GB"/>
              </w:rPr>
              <w:t>9</w:t>
            </w:r>
          </w:p>
        </w:tc>
        <w:tc>
          <w:tcPr>
            <w:tcW w:w="1559" w:type="dxa"/>
            <w:vAlign w:val="center"/>
          </w:tcPr>
          <w:p w14:paraId="759544F8" w14:textId="06C6D4A4" w:rsidR="00537902" w:rsidRDefault="00537902" w:rsidP="00A83AB4">
            <w:pPr>
              <w:spacing w:after="120" w:line="480" w:lineRule="auto"/>
              <w:contextualSpacing/>
              <w:jc w:val="center"/>
            </w:pPr>
            <w:r>
              <w:rPr>
                <w:rFonts w:ascii="Calibri" w:eastAsia="Times New Roman" w:hAnsi="Calibri" w:cs="Calibri"/>
                <w:lang w:val="pt-BR" w:eastAsia="pt-BR"/>
              </w:rPr>
              <w:t>EFSA</w:t>
            </w:r>
            <w:r w:rsidR="00255928">
              <w:rPr>
                <w:rFonts w:ascii="Calibri" w:eastAsia="Times New Roman" w:hAnsi="Calibri" w:cs="Calibri"/>
                <w:lang w:val="pt-BR" w:eastAsia="pt-BR"/>
              </w:rPr>
              <w:t xml:space="preserve"> [</w:t>
            </w:r>
            <w:r w:rsidR="00EB3463">
              <w:rPr>
                <w:rFonts w:ascii="Calibri" w:eastAsia="Times New Roman" w:hAnsi="Calibri" w:cs="Calibri"/>
                <w:lang w:val="pt-BR" w:eastAsia="pt-BR"/>
              </w:rPr>
              <w:t>31</w:t>
            </w:r>
            <w:r w:rsidR="00255928">
              <w:rPr>
                <w:rFonts w:ascii="Calibri" w:eastAsia="Times New Roman" w:hAnsi="Calibri" w:cs="Calibri"/>
                <w:lang w:val="pt-BR" w:eastAsia="pt-BR"/>
              </w:rPr>
              <w:t>]</w:t>
            </w:r>
          </w:p>
        </w:tc>
      </w:tr>
      <w:tr w:rsidR="00537902" w14:paraId="7F1D564E" w14:textId="77777777" w:rsidTr="002356EC">
        <w:trPr>
          <w:trHeight w:val="1587"/>
        </w:trPr>
        <w:tc>
          <w:tcPr>
            <w:tcW w:w="2830" w:type="dxa"/>
            <w:gridSpan w:val="2"/>
            <w:vAlign w:val="center"/>
          </w:tcPr>
          <w:p w14:paraId="2A9B845E" w14:textId="77777777" w:rsidR="00537902" w:rsidRPr="00E65CC6" w:rsidRDefault="00537902" w:rsidP="00A83AB4">
            <w:pPr>
              <w:spacing w:after="120" w:line="480" w:lineRule="auto"/>
              <w:contextualSpacing/>
              <w:jc w:val="center"/>
              <w:rPr>
                <w:rFonts w:ascii="Calibri" w:eastAsia="Times New Roman" w:hAnsi="Calibri" w:cs="Calibri"/>
                <w:color w:val="000000"/>
                <w:lang w:eastAsia="en-GB"/>
              </w:rPr>
            </w:pPr>
            <w:r w:rsidRPr="00E65CC6">
              <w:rPr>
                <w:rFonts w:ascii="Calibri" w:eastAsia="Times New Roman" w:hAnsi="Calibri" w:cs="Calibri"/>
                <w:color w:val="000000"/>
                <w:lang w:eastAsia="en-GB"/>
              </w:rPr>
              <w:t>Triadimenol</w:t>
            </w:r>
          </w:p>
          <w:p w14:paraId="2F13A572" w14:textId="59CA909D" w:rsidR="00E65CC6" w:rsidRPr="00761751" w:rsidRDefault="00E65CC6" w:rsidP="00A83AB4">
            <w:pPr>
              <w:spacing w:after="120" w:line="480" w:lineRule="auto"/>
              <w:contextualSpacing/>
              <w:jc w:val="center"/>
              <w:rPr>
                <w:iCs/>
                <w:highlight w:val="yellow"/>
              </w:rPr>
            </w:pPr>
            <w:r w:rsidRPr="00E65CC6">
              <w:rPr>
                <w:iCs/>
              </w:rPr>
              <w:t>55219-65-3</w:t>
            </w:r>
          </w:p>
        </w:tc>
        <w:tc>
          <w:tcPr>
            <w:tcW w:w="3374" w:type="dxa"/>
            <w:vAlign w:val="center"/>
          </w:tcPr>
          <w:p w14:paraId="1FBECF06" w14:textId="5BC95AEE" w:rsidR="00537902" w:rsidRDefault="002356EC" w:rsidP="00A83AB4">
            <w:pPr>
              <w:spacing w:after="120" w:line="480" w:lineRule="auto"/>
              <w:contextualSpacing/>
              <w:jc w:val="center"/>
            </w:pPr>
            <w:r w:rsidRPr="002356EC">
              <w:rPr>
                <w:noProof/>
                <w:lang w:eastAsia="en-GB"/>
              </w:rPr>
              <w:drawing>
                <wp:inline distT="0" distB="0" distL="0" distR="0" wp14:anchorId="56B23D31" wp14:editId="0EE26DC0">
                  <wp:extent cx="1536222" cy="9360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6222" cy="936000"/>
                          </a:xfrm>
                          <a:prstGeom prst="rect">
                            <a:avLst/>
                          </a:prstGeom>
                          <a:noFill/>
                          <a:ln>
                            <a:noFill/>
                          </a:ln>
                        </pic:spPr>
                      </pic:pic>
                    </a:graphicData>
                  </a:graphic>
                </wp:inline>
              </w:drawing>
            </w:r>
          </w:p>
        </w:tc>
        <w:tc>
          <w:tcPr>
            <w:tcW w:w="1417" w:type="dxa"/>
            <w:vAlign w:val="center"/>
          </w:tcPr>
          <w:p w14:paraId="7618CD07" w14:textId="77777777" w:rsidR="00537902" w:rsidRDefault="00537902" w:rsidP="00A83AB4">
            <w:pPr>
              <w:spacing w:after="120" w:line="480" w:lineRule="auto"/>
              <w:contextualSpacing/>
              <w:jc w:val="center"/>
            </w:pPr>
            <w:r>
              <w:rPr>
                <w:rFonts w:ascii="Calibri" w:eastAsia="Times New Roman" w:hAnsi="Calibri" w:cs="Calibri"/>
                <w:color w:val="000000"/>
                <w:lang w:eastAsia="en-GB"/>
              </w:rPr>
              <w:t>9</w:t>
            </w:r>
          </w:p>
        </w:tc>
        <w:tc>
          <w:tcPr>
            <w:tcW w:w="1559" w:type="dxa"/>
            <w:vAlign w:val="center"/>
          </w:tcPr>
          <w:p w14:paraId="307E7A0F" w14:textId="45E3F993" w:rsidR="00537902" w:rsidRDefault="00537902" w:rsidP="00A83AB4">
            <w:pPr>
              <w:spacing w:after="120" w:line="480" w:lineRule="auto"/>
              <w:contextualSpacing/>
              <w:jc w:val="center"/>
            </w:pPr>
            <w:r>
              <w:rPr>
                <w:rFonts w:ascii="Calibri" w:eastAsia="Times New Roman" w:hAnsi="Calibri" w:cs="Calibri"/>
                <w:lang w:val="pt-BR" w:eastAsia="pt-BR"/>
              </w:rPr>
              <w:t>EFSA</w:t>
            </w:r>
            <w:r w:rsidR="00255928">
              <w:rPr>
                <w:rFonts w:ascii="Calibri" w:eastAsia="Times New Roman" w:hAnsi="Calibri" w:cs="Calibri"/>
                <w:lang w:val="pt-BR" w:eastAsia="pt-BR"/>
              </w:rPr>
              <w:t xml:space="preserve"> [</w:t>
            </w:r>
            <w:r w:rsidR="00EB3463">
              <w:rPr>
                <w:rFonts w:ascii="Calibri" w:eastAsia="Times New Roman" w:hAnsi="Calibri" w:cs="Calibri"/>
                <w:lang w:val="pt-BR" w:eastAsia="pt-BR"/>
              </w:rPr>
              <w:t>32</w:t>
            </w:r>
            <w:r w:rsidR="00255928">
              <w:rPr>
                <w:rFonts w:ascii="Calibri" w:eastAsia="Times New Roman" w:hAnsi="Calibri" w:cs="Calibri"/>
                <w:lang w:val="pt-BR" w:eastAsia="pt-BR"/>
              </w:rPr>
              <w:t>]</w:t>
            </w:r>
          </w:p>
        </w:tc>
      </w:tr>
      <w:tr w:rsidR="00537902" w14:paraId="2CD572B6" w14:textId="77777777" w:rsidTr="00DC1043">
        <w:trPr>
          <w:trHeight w:val="1587"/>
        </w:trPr>
        <w:tc>
          <w:tcPr>
            <w:tcW w:w="2830" w:type="dxa"/>
            <w:gridSpan w:val="2"/>
            <w:vAlign w:val="center"/>
          </w:tcPr>
          <w:p w14:paraId="4B1AC674" w14:textId="77777777" w:rsidR="00537902" w:rsidRPr="00E65CC6" w:rsidRDefault="00537902" w:rsidP="00A83AB4">
            <w:pPr>
              <w:spacing w:after="120" w:line="480" w:lineRule="auto"/>
              <w:contextualSpacing/>
              <w:jc w:val="center"/>
              <w:rPr>
                <w:rFonts w:ascii="Calibri" w:eastAsia="Times New Roman" w:hAnsi="Calibri" w:cs="Calibri"/>
                <w:color w:val="000000"/>
                <w:lang w:eastAsia="en-GB"/>
              </w:rPr>
            </w:pPr>
            <w:r w:rsidRPr="00E65CC6">
              <w:rPr>
                <w:rFonts w:ascii="Calibri" w:eastAsia="Times New Roman" w:hAnsi="Calibri" w:cs="Calibri"/>
                <w:color w:val="000000"/>
                <w:lang w:eastAsia="en-GB"/>
              </w:rPr>
              <w:t>Triadimefon</w:t>
            </w:r>
          </w:p>
          <w:p w14:paraId="2384EBC5" w14:textId="265BEA60" w:rsidR="00E65CC6" w:rsidRPr="00E65CC6" w:rsidRDefault="00E65CC6" w:rsidP="00A83AB4">
            <w:pPr>
              <w:spacing w:after="120" w:line="480" w:lineRule="auto"/>
              <w:contextualSpacing/>
              <w:jc w:val="center"/>
            </w:pPr>
            <w:r w:rsidRPr="00E65CC6">
              <w:t>43121-43-3</w:t>
            </w:r>
          </w:p>
        </w:tc>
        <w:tc>
          <w:tcPr>
            <w:tcW w:w="3374" w:type="dxa"/>
            <w:vAlign w:val="center"/>
          </w:tcPr>
          <w:p w14:paraId="3D559A97" w14:textId="77777777" w:rsidR="00537902" w:rsidRDefault="00537902" w:rsidP="00A83AB4">
            <w:pPr>
              <w:spacing w:after="120" w:line="480" w:lineRule="auto"/>
              <w:contextualSpacing/>
              <w:jc w:val="center"/>
            </w:pPr>
            <w:r w:rsidRPr="00E95FBC">
              <w:rPr>
                <w:rFonts w:ascii="Calibri" w:eastAsia="Times New Roman" w:hAnsi="Calibri" w:cs="Calibri"/>
                <w:noProof/>
                <w:color w:val="000000"/>
                <w:lang w:eastAsia="en-GB"/>
              </w:rPr>
              <w:drawing>
                <wp:inline distT="0" distB="0" distL="0" distR="0" wp14:anchorId="396CB82E" wp14:editId="6B7C634F">
                  <wp:extent cx="1534494" cy="933450"/>
                  <wp:effectExtent l="0" t="0" r="889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5"/>
                          <a:stretch>
                            <a:fillRect/>
                          </a:stretch>
                        </pic:blipFill>
                        <pic:spPr>
                          <a:xfrm>
                            <a:off x="0" y="0"/>
                            <a:ext cx="1550644" cy="943274"/>
                          </a:xfrm>
                          <a:prstGeom prst="rect">
                            <a:avLst/>
                          </a:prstGeom>
                        </pic:spPr>
                      </pic:pic>
                    </a:graphicData>
                  </a:graphic>
                </wp:inline>
              </w:drawing>
            </w:r>
          </w:p>
        </w:tc>
        <w:tc>
          <w:tcPr>
            <w:tcW w:w="1417" w:type="dxa"/>
            <w:vAlign w:val="center"/>
          </w:tcPr>
          <w:p w14:paraId="18186B46" w14:textId="77777777" w:rsidR="00537902" w:rsidRDefault="00537902" w:rsidP="00A83AB4">
            <w:pPr>
              <w:spacing w:after="120" w:line="480" w:lineRule="auto"/>
              <w:contextualSpacing/>
              <w:jc w:val="center"/>
            </w:pPr>
            <w:r w:rsidRPr="00076A1B">
              <w:rPr>
                <w:rFonts w:ascii="Calibri" w:eastAsia="Times New Roman" w:hAnsi="Calibri" w:cs="Calibri"/>
                <w:lang w:val="pt-BR" w:eastAsia="pt-BR"/>
              </w:rPr>
              <w:t>13.6</w:t>
            </w:r>
          </w:p>
        </w:tc>
        <w:tc>
          <w:tcPr>
            <w:tcW w:w="1559" w:type="dxa"/>
            <w:vAlign w:val="center"/>
          </w:tcPr>
          <w:p w14:paraId="7BD81CCA" w14:textId="55EA441C" w:rsidR="00537902" w:rsidRDefault="00537902" w:rsidP="00A83AB4">
            <w:pPr>
              <w:spacing w:after="120" w:line="480" w:lineRule="auto"/>
              <w:contextualSpacing/>
              <w:jc w:val="center"/>
            </w:pPr>
            <w:r>
              <w:rPr>
                <w:rFonts w:ascii="Calibri" w:eastAsia="Times New Roman" w:hAnsi="Calibri" w:cs="Calibri"/>
                <w:lang w:val="pt-BR" w:eastAsia="pt-BR"/>
              </w:rPr>
              <w:t>FAO</w:t>
            </w:r>
            <w:r w:rsidR="00255928">
              <w:rPr>
                <w:rFonts w:ascii="Calibri" w:eastAsia="Times New Roman" w:hAnsi="Calibri" w:cs="Calibri"/>
                <w:lang w:val="pt-BR" w:eastAsia="pt-BR"/>
              </w:rPr>
              <w:t xml:space="preserve"> [</w:t>
            </w:r>
            <w:r w:rsidR="00EB3463">
              <w:rPr>
                <w:rFonts w:ascii="Calibri" w:eastAsia="Times New Roman" w:hAnsi="Calibri" w:cs="Calibri"/>
                <w:lang w:val="pt-BR" w:eastAsia="pt-BR"/>
              </w:rPr>
              <w:t>33</w:t>
            </w:r>
            <w:r w:rsidR="00255928">
              <w:rPr>
                <w:rFonts w:ascii="Calibri" w:eastAsia="Times New Roman" w:hAnsi="Calibri" w:cs="Calibri"/>
                <w:lang w:val="pt-BR" w:eastAsia="pt-BR"/>
              </w:rPr>
              <w:t>]</w:t>
            </w:r>
          </w:p>
        </w:tc>
      </w:tr>
      <w:tr w:rsidR="00537902" w14:paraId="62C3DFC1" w14:textId="77777777" w:rsidTr="004B7143">
        <w:tc>
          <w:tcPr>
            <w:tcW w:w="9180" w:type="dxa"/>
            <w:gridSpan w:val="5"/>
            <w:vAlign w:val="center"/>
          </w:tcPr>
          <w:p w14:paraId="4349014E" w14:textId="3318B5AD" w:rsidR="00537902" w:rsidRDefault="00537902" w:rsidP="00A83AB4">
            <w:pPr>
              <w:spacing w:after="120" w:line="480" w:lineRule="auto"/>
              <w:jc w:val="both"/>
            </w:pPr>
          </w:p>
        </w:tc>
      </w:tr>
      <w:tr w:rsidR="00F044AC" w14:paraId="2C1BA9AD" w14:textId="77777777" w:rsidTr="004B7143">
        <w:tc>
          <w:tcPr>
            <w:tcW w:w="9180" w:type="dxa"/>
            <w:gridSpan w:val="5"/>
            <w:vAlign w:val="center"/>
          </w:tcPr>
          <w:p w14:paraId="6A67D322" w14:textId="1228E3BD" w:rsidR="00F044AC" w:rsidRDefault="00F044AC" w:rsidP="00A83AB4">
            <w:pPr>
              <w:spacing w:after="120" w:line="480" w:lineRule="auto"/>
              <w:jc w:val="both"/>
            </w:pPr>
            <w:r>
              <w:t>Source Molecules (Imidazole category)</w:t>
            </w:r>
          </w:p>
        </w:tc>
      </w:tr>
      <w:tr w:rsidR="00F044AC" w14:paraId="23A9F053" w14:textId="77777777" w:rsidTr="004B7143">
        <w:tc>
          <w:tcPr>
            <w:tcW w:w="9180" w:type="dxa"/>
            <w:gridSpan w:val="5"/>
            <w:vAlign w:val="center"/>
          </w:tcPr>
          <w:p w14:paraId="54A045FD" w14:textId="77777777" w:rsidR="00F044AC" w:rsidRDefault="00F044AC" w:rsidP="00A83AB4">
            <w:pPr>
              <w:spacing w:after="120" w:line="480" w:lineRule="auto"/>
              <w:jc w:val="both"/>
            </w:pPr>
          </w:p>
        </w:tc>
      </w:tr>
      <w:tr w:rsidR="00F044AC" w14:paraId="2872800D" w14:textId="77777777" w:rsidTr="00DC1043">
        <w:trPr>
          <w:trHeight w:val="1757"/>
        </w:trPr>
        <w:tc>
          <w:tcPr>
            <w:tcW w:w="1526" w:type="dxa"/>
            <w:vAlign w:val="center"/>
          </w:tcPr>
          <w:p w14:paraId="4316B0E5" w14:textId="77777777" w:rsidR="00F044AC" w:rsidRPr="00F044AC" w:rsidRDefault="00F044AC" w:rsidP="00A83AB4">
            <w:pPr>
              <w:spacing w:after="120" w:line="480" w:lineRule="auto"/>
              <w:contextualSpacing/>
              <w:jc w:val="center"/>
              <w:rPr>
                <w:rFonts w:ascii="Calibri" w:hAnsi="Calibri" w:cs="Calibri"/>
              </w:rPr>
            </w:pPr>
            <w:proofErr w:type="spellStart"/>
            <w:r w:rsidRPr="00F044AC">
              <w:rPr>
                <w:rFonts w:ascii="Calibri" w:hAnsi="Calibri" w:cs="Calibri"/>
              </w:rPr>
              <w:t>Imazalil</w:t>
            </w:r>
            <w:proofErr w:type="spellEnd"/>
          </w:p>
          <w:p w14:paraId="588D1EDA" w14:textId="77777777" w:rsidR="00F044AC" w:rsidRDefault="00F044AC" w:rsidP="00A83AB4">
            <w:pPr>
              <w:spacing w:after="120" w:line="480" w:lineRule="auto"/>
              <w:contextualSpacing/>
              <w:jc w:val="center"/>
              <w:rPr>
                <w:i/>
                <w:iCs/>
                <w:highlight w:val="yellow"/>
              </w:rPr>
            </w:pPr>
            <w:r w:rsidRPr="00F044AC">
              <w:rPr>
                <w:rFonts w:ascii="Calibri" w:hAnsi="Calibri" w:cs="Calibri"/>
              </w:rPr>
              <w:t>35554-44-0</w:t>
            </w:r>
          </w:p>
        </w:tc>
        <w:tc>
          <w:tcPr>
            <w:tcW w:w="4678" w:type="dxa"/>
            <w:gridSpan w:val="2"/>
            <w:vAlign w:val="center"/>
          </w:tcPr>
          <w:p w14:paraId="38E56CFC" w14:textId="067EE0EC" w:rsidR="00F044AC" w:rsidRDefault="00C4010C" w:rsidP="00A83AB4">
            <w:pPr>
              <w:spacing w:after="120" w:line="480" w:lineRule="auto"/>
              <w:contextualSpacing/>
              <w:jc w:val="center"/>
            </w:pPr>
            <w:r w:rsidRPr="00C4010C">
              <w:rPr>
                <w:noProof/>
                <w:lang w:eastAsia="en-GB"/>
              </w:rPr>
              <w:drawing>
                <wp:inline distT="0" distB="0" distL="0" distR="0" wp14:anchorId="4C876DEA" wp14:editId="02907BFC">
                  <wp:extent cx="1402256" cy="1080000"/>
                  <wp:effectExtent l="0" t="0" r="762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2256" cy="1080000"/>
                          </a:xfrm>
                          <a:prstGeom prst="rect">
                            <a:avLst/>
                          </a:prstGeom>
                          <a:noFill/>
                          <a:ln>
                            <a:noFill/>
                          </a:ln>
                        </pic:spPr>
                      </pic:pic>
                    </a:graphicData>
                  </a:graphic>
                </wp:inline>
              </w:drawing>
            </w:r>
          </w:p>
        </w:tc>
        <w:tc>
          <w:tcPr>
            <w:tcW w:w="1417" w:type="dxa"/>
            <w:vAlign w:val="center"/>
          </w:tcPr>
          <w:p w14:paraId="5492C694" w14:textId="77777777" w:rsidR="00F044AC" w:rsidRDefault="00F044AC" w:rsidP="00A83AB4">
            <w:pPr>
              <w:spacing w:after="120" w:line="480" w:lineRule="auto"/>
              <w:contextualSpacing/>
              <w:jc w:val="center"/>
            </w:pPr>
            <w:r>
              <w:rPr>
                <w:rFonts w:ascii="Calibri" w:hAnsi="Calibri" w:cs="Calibri"/>
              </w:rPr>
              <w:t>5</w:t>
            </w:r>
          </w:p>
        </w:tc>
        <w:tc>
          <w:tcPr>
            <w:tcW w:w="1559" w:type="dxa"/>
            <w:vAlign w:val="center"/>
          </w:tcPr>
          <w:p w14:paraId="1DD8FD1A" w14:textId="1C2FF004" w:rsidR="00F044AC" w:rsidRPr="006E303B" w:rsidRDefault="00FE191A" w:rsidP="00A83AB4">
            <w:pPr>
              <w:spacing w:after="120" w:line="480" w:lineRule="auto"/>
              <w:contextualSpacing/>
              <w:jc w:val="center"/>
            </w:pPr>
            <w:r w:rsidRPr="006E303B">
              <w:rPr>
                <w:rFonts w:ascii="Calibri" w:hAnsi="Calibri" w:cs="Calibri"/>
              </w:rPr>
              <w:t>EFSA</w:t>
            </w:r>
            <w:r w:rsidR="00255928">
              <w:rPr>
                <w:rFonts w:ascii="Calibri" w:hAnsi="Calibri" w:cs="Calibri"/>
              </w:rPr>
              <w:t xml:space="preserve"> [3</w:t>
            </w:r>
            <w:r w:rsidR="00EB3463">
              <w:rPr>
                <w:rFonts w:ascii="Calibri" w:hAnsi="Calibri" w:cs="Calibri"/>
              </w:rPr>
              <w:t>4</w:t>
            </w:r>
            <w:r w:rsidR="00255928">
              <w:rPr>
                <w:rFonts w:ascii="Calibri" w:hAnsi="Calibri" w:cs="Calibri"/>
              </w:rPr>
              <w:t>]</w:t>
            </w:r>
          </w:p>
        </w:tc>
      </w:tr>
      <w:tr w:rsidR="00F044AC" w14:paraId="0F3303D5" w14:textId="77777777" w:rsidTr="00DC1043">
        <w:trPr>
          <w:trHeight w:val="1587"/>
        </w:trPr>
        <w:tc>
          <w:tcPr>
            <w:tcW w:w="1526" w:type="dxa"/>
            <w:vAlign w:val="center"/>
          </w:tcPr>
          <w:p w14:paraId="505F2071" w14:textId="77777777" w:rsidR="00F044AC" w:rsidRDefault="00F044AC" w:rsidP="00A83AB4">
            <w:pPr>
              <w:spacing w:after="120" w:line="480" w:lineRule="auto"/>
              <w:contextualSpacing/>
              <w:jc w:val="center"/>
              <w:rPr>
                <w:rFonts w:ascii="Calibri" w:hAnsi="Calibri" w:cs="Calibri"/>
              </w:rPr>
            </w:pPr>
            <w:r>
              <w:rPr>
                <w:rFonts w:ascii="Calibri" w:hAnsi="Calibri" w:cs="Calibri"/>
              </w:rPr>
              <w:t>Prochloraz</w:t>
            </w:r>
          </w:p>
          <w:p w14:paraId="4BA72FA4" w14:textId="17A2FA68" w:rsidR="00F044AC" w:rsidRDefault="00F044AC" w:rsidP="00A83AB4">
            <w:pPr>
              <w:spacing w:after="120" w:line="480" w:lineRule="auto"/>
              <w:contextualSpacing/>
              <w:jc w:val="center"/>
              <w:rPr>
                <w:i/>
                <w:iCs/>
                <w:highlight w:val="yellow"/>
              </w:rPr>
            </w:pPr>
            <w:r w:rsidRPr="00204809">
              <w:rPr>
                <w:rFonts w:ascii="Calibri" w:hAnsi="Calibri" w:cs="Calibri"/>
              </w:rPr>
              <w:t>67747-09-5</w:t>
            </w:r>
          </w:p>
        </w:tc>
        <w:tc>
          <w:tcPr>
            <w:tcW w:w="4678" w:type="dxa"/>
            <w:gridSpan w:val="2"/>
            <w:vAlign w:val="center"/>
          </w:tcPr>
          <w:p w14:paraId="67DB73E7" w14:textId="255CB4B2" w:rsidR="00F044AC" w:rsidRDefault="00DC1043" w:rsidP="00A83AB4">
            <w:pPr>
              <w:spacing w:after="120" w:line="480" w:lineRule="auto"/>
              <w:contextualSpacing/>
              <w:jc w:val="center"/>
            </w:pPr>
            <w:r w:rsidRPr="00DC1043">
              <w:rPr>
                <w:noProof/>
                <w:lang w:eastAsia="en-GB"/>
              </w:rPr>
              <w:drawing>
                <wp:inline distT="0" distB="0" distL="0" distR="0" wp14:anchorId="708CE9AD" wp14:editId="68ED89F5">
                  <wp:extent cx="2501053" cy="864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053" cy="864000"/>
                          </a:xfrm>
                          <a:prstGeom prst="rect">
                            <a:avLst/>
                          </a:prstGeom>
                          <a:noFill/>
                          <a:ln>
                            <a:noFill/>
                          </a:ln>
                        </pic:spPr>
                      </pic:pic>
                    </a:graphicData>
                  </a:graphic>
                </wp:inline>
              </w:drawing>
            </w:r>
          </w:p>
        </w:tc>
        <w:tc>
          <w:tcPr>
            <w:tcW w:w="1417" w:type="dxa"/>
            <w:vAlign w:val="center"/>
          </w:tcPr>
          <w:p w14:paraId="68FA5023" w14:textId="77777777" w:rsidR="00F044AC" w:rsidRDefault="00F044AC" w:rsidP="00A83AB4">
            <w:pPr>
              <w:spacing w:after="120" w:line="480" w:lineRule="auto"/>
              <w:contextualSpacing/>
              <w:jc w:val="center"/>
            </w:pPr>
            <w:r>
              <w:rPr>
                <w:rFonts w:ascii="Calibri" w:hAnsi="Calibri" w:cs="Calibri"/>
              </w:rPr>
              <w:t>6</w:t>
            </w:r>
          </w:p>
        </w:tc>
        <w:tc>
          <w:tcPr>
            <w:tcW w:w="1559" w:type="dxa"/>
            <w:vAlign w:val="center"/>
          </w:tcPr>
          <w:p w14:paraId="65E14C25" w14:textId="6A1C151E" w:rsidR="00F044AC" w:rsidRPr="0052654C" w:rsidRDefault="00FE191A" w:rsidP="00A83AB4">
            <w:pPr>
              <w:spacing w:after="120" w:line="480" w:lineRule="auto"/>
              <w:contextualSpacing/>
              <w:jc w:val="center"/>
            </w:pPr>
            <w:r w:rsidRPr="0052654C">
              <w:rPr>
                <w:rFonts w:ascii="Calibri" w:hAnsi="Calibri" w:cs="Calibri"/>
              </w:rPr>
              <w:t>EFSA</w:t>
            </w:r>
            <w:r w:rsidR="00255928">
              <w:rPr>
                <w:rFonts w:ascii="Calibri" w:hAnsi="Calibri" w:cs="Calibri"/>
              </w:rPr>
              <w:t xml:space="preserve"> [3</w:t>
            </w:r>
            <w:r w:rsidR="00EB3463">
              <w:rPr>
                <w:rFonts w:ascii="Calibri" w:hAnsi="Calibri" w:cs="Calibri"/>
              </w:rPr>
              <w:t>5</w:t>
            </w:r>
            <w:r w:rsidR="00255928">
              <w:rPr>
                <w:rFonts w:ascii="Calibri" w:hAnsi="Calibri" w:cs="Calibri"/>
              </w:rPr>
              <w:t>]</w:t>
            </w:r>
          </w:p>
        </w:tc>
      </w:tr>
      <w:tr w:rsidR="00F044AC" w14:paraId="2909E77B" w14:textId="77777777" w:rsidTr="00DC1043">
        <w:trPr>
          <w:trHeight w:val="1814"/>
        </w:trPr>
        <w:tc>
          <w:tcPr>
            <w:tcW w:w="1526" w:type="dxa"/>
            <w:vAlign w:val="center"/>
          </w:tcPr>
          <w:p w14:paraId="2B3DADA2" w14:textId="2EE85574" w:rsidR="00F044AC" w:rsidRDefault="00F044AC" w:rsidP="00A83AB4">
            <w:pPr>
              <w:spacing w:after="120" w:line="480" w:lineRule="auto"/>
              <w:contextualSpacing/>
              <w:jc w:val="center"/>
              <w:rPr>
                <w:rFonts w:ascii="Calibri" w:hAnsi="Calibri" w:cs="Calibri"/>
              </w:rPr>
            </w:pPr>
            <w:proofErr w:type="spellStart"/>
            <w:r>
              <w:rPr>
                <w:rFonts w:ascii="Calibri" w:hAnsi="Calibri" w:cs="Calibri"/>
              </w:rPr>
              <w:t>Triflumizole</w:t>
            </w:r>
            <w:proofErr w:type="spellEnd"/>
          </w:p>
          <w:p w14:paraId="3326B46F" w14:textId="22F265F7" w:rsidR="00F044AC" w:rsidRDefault="00F044AC" w:rsidP="00A83AB4">
            <w:pPr>
              <w:spacing w:after="120" w:line="480" w:lineRule="auto"/>
              <w:contextualSpacing/>
              <w:jc w:val="center"/>
              <w:rPr>
                <w:i/>
                <w:iCs/>
                <w:highlight w:val="yellow"/>
              </w:rPr>
            </w:pPr>
            <w:r>
              <w:rPr>
                <w:rFonts w:ascii="Calibri" w:hAnsi="Calibri" w:cs="Calibri"/>
                <w:color w:val="000000"/>
              </w:rPr>
              <w:t>68694-11-1</w:t>
            </w:r>
          </w:p>
        </w:tc>
        <w:tc>
          <w:tcPr>
            <w:tcW w:w="4678" w:type="dxa"/>
            <w:gridSpan w:val="2"/>
            <w:vAlign w:val="center"/>
          </w:tcPr>
          <w:p w14:paraId="6EE4C6AF" w14:textId="4A9478D1" w:rsidR="00F044AC" w:rsidRDefault="008B18F2" w:rsidP="00A83AB4">
            <w:pPr>
              <w:spacing w:after="120" w:line="480" w:lineRule="auto"/>
              <w:contextualSpacing/>
              <w:jc w:val="center"/>
            </w:pPr>
            <w:r w:rsidRPr="008B18F2">
              <w:rPr>
                <w:noProof/>
                <w:lang w:eastAsia="en-GB"/>
              </w:rPr>
              <w:drawing>
                <wp:inline distT="0" distB="0" distL="0" distR="0" wp14:anchorId="3CEBBAC6" wp14:editId="3A691765">
                  <wp:extent cx="1998737" cy="1080000"/>
                  <wp:effectExtent l="0" t="0" r="190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98737" cy="1080000"/>
                          </a:xfrm>
                          <a:prstGeom prst="rect">
                            <a:avLst/>
                          </a:prstGeom>
                          <a:noFill/>
                          <a:ln>
                            <a:noFill/>
                          </a:ln>
                        </pic:spPr>
                      </pic:pic>
                    </a:graphicData>
                  </a:graphic>
                </wp:inline>
              </w:drawing>
            </w:r>
          </w:p>
        </w:tc>
        <w:tc>
          <w:tcPr>
            <w:tcW w:w="1417" w:type="dxa"/>
            <w:vAlign w:val="center"/>
          </w:tcPr>
          <w:p w14:paraId="59A728E6" w14:textId="037F3A5D" w:rsidR="00F044AC" w:rsidRDefault="00F044AC" w:rsidP="00A83AB4">
            <w:pPr>
              <w:spacing w:after="120" w:line="480" w:lineRule="auto"/>
              <w:contextualSpacing/>
              <w:jc w:val="center"/>
            </w:pPr>
            <w:r>
              <w:rPr>
                <w:rFonts w:ascii="Calibri" w:hAnsi="Calibri" w:cs="Calibri"/>
              </w:rPr>
              <w:t>4.1</w:t>
            </w:r>
          </w:p>
        </w:tc>
        <w:tc>
          <w:tcPr>
            <w:tcW w:w="1559" w:type="dxa"/>
            <w:vAlign w:val="center"/>
          </w:tcPr>
          <w:p w14:paraId="7CD8ED06" w14:textId="3D3B62A1" w:rsidR="00F044AC" w:rsidRPr="00826BAD" w:rsidRDefault="00FE191A" w:rsidP="00A83AB4">
            <w:pPr>
              <w:spacing w:after="120" w:line="480" w:lineRule="auto"/>
              <w:contextualSpacing/>
              <w:jc w:val="center"/>
            </w:pPr>
            <w:r w:rsidRPr="00826BAD">
              <w:rPr>
                <w:rFonts w:ascii="Calibri" w:hAnsi="Calibri" w:cs="Calibri"/>
              </w:rPr>
              <w:t>EFSA</w:t>
            </w:r>
            <w:r w:rsidR="00EB3463">
              <w:rPr>
                <w:rFonts w:ascii="Calibri" w:hAnsi="Calibri" w:cs="Calibri"/>
              </w:rPr>
              <w:t xml:space="preserve"> [36</w:t>
            </w:r>
            <w:r w:rsidR="00255928">
              <w:rPr>
                <w:rFonts w:ascii="Calibri" w:hAnsi="Calibri" w:cs="Calibri"/>
              </w:rPr>
              <w:t>]</w:t>
            </w:r>
          </w:p>
        </w:tc>
      </w:tr>
      <w:tr w:rsidR="00F044AC" w14:paraId="725ADB85" w14:textId="77777777" w:rsidTr="00143905">
        <w:trPr>
          <w:trHeight w:val="1644"/>
        </w:trPr>
        <w:tc>
          <w:tcPr>
            <w:tcW w:w="1526" w:type="dxa"/>
            <w:vAlign w:val="center"/>
          </w:tcPr>
          <w:p w14:paraId="044FB939" w14:textId="77777777" w:rsidR="00F044AC" w:rsidRDefault="00F044AC" w:rsidP="00A83AB4">
            <w:pPr>
              <w:spacing w:after="120" w:line="480" w:lineRule="auto"/>
              <w:contextualSpacing/>
              <w:jc w:val="center"/>
              <w:rPr>
                <w:rFonts w:ascii="Calibri" w:hAnsi="Calibri" w:cs="Calibri"/>
              </w:rPr>
            </w:pPr>
            <w:r>
              <w:rPr>
                <w:rFonts w:ascii="Calibri" w:hAnsi="Calibri" w:cs="Calibri"/>
              </w:rPr>
              <w:t>Climbazole</w:t>
            </w:r>
          </w:p>
          <w:p w14:paraId="7C022D86" w14:textId="214F7B77" w:rsidR="00F044AC" w:rsidRDefault="00F044AC" w:rsidP="00A83AB4">
            <w:pPr>
              <w:spacing w:after="120" w:line="480" w:lineRule="auto"/>
              <w:contextualSpacing/>
              <w:jc w:val="center"/>
              <w:rPr>
                <w:i/>
                <w:iCs/>
                <w:highlight w:val="yellow"/>
              </w:rPr>
            </w:pPr>
            <w:r>
              <w:rPr>
                <w:rFonts w:ascii="Calibri" w:hAnsi="Calibri" w:cs="Calibri"/>
                <w:color w:val="000000"/>
              </w:rPr>
              <w:t>38083-17-9</w:t>
            </w:r>
          </w:p>
        </w:tc>
        <w:tc>
          <w:tcPr>
            <w:tcW w:w="4678" w:type="dxa"/>
            <w:gridSpan w:val="2"/>
            <w:vAlign w:val="center"/>
          </w:tcPr>
          <w:p w14:paraId="7A9977B2" w14:textId="6D4E9144" w:rsidR="00F044AC" w:rsidRDefault="00143905" w:rsidP="00A83AB4">
            <w:pPr>
              <w:spacing w:after="120" w:line="480" w:lineRule="auto"/>
              <w:contextualSpacing/>
              <w:jc w:val="center"/>
            </w:pPr>
            <w:r>
              <w:rPr>
                <w:noProof/>
                <w:lang w:eastAsia="en-GB"/>
              </w:rPr>
              <w:drawing>
                <wp:inline distT="0" distB="0" distL="0" distR="0" wp14:anchorId="7A27CA7F" wp14:editId="63906072">
                  <wp:extent cx="1537546" cy="936000"/>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7546" cy="936000"/>
                          </a:xfrm>
                          <a:prstGeom prst="rect">
                            <a:avLst/>
                          </a:prstGeom>
                          <a:noFill/>
                        </pic:spPr>
                      </pic:pic>
                    </a:graphicData>
                  </a:graphic>
                </wp:inline>
              </w:drawing>
            </w:r>
          </w:p>
        </w:tc>
        <w:tc>
          <w:tcPr>
            <w:tcW w:w="1417" w:type="dxa"/>
            <w:vAlign w:val="center"/>
          </w:tcPr>
          <w:p w14:paraId="6C91D7D4" w14:textId="77777777" w:rsidR="00F044AC" w:rsidRDefault="00F044AC" w:rsidP="00A83AB4">
            <w:pPr>
              <w:spacing w:after="120" w:line="480" w:lineRule="auto"/>
              <w:contextualSpacing/>
              <w:jc w:val="center"/>
            </w:pPr>
            <w:r>
              <w:rPr>
                <w:rFonts w:ascii="Calibri" w:hAnsi="Calibri" w:cs="Calibri"/>
              </w:rPr>
              <w:t>45</w:t>
            </w:r>
          </w:p>
        </w:tc>
        <w:tc>
          <w:tcPr>
            <w:tcW w:w="1559" w:type="dxa"/>
            <w:vAlign w:val="center"/>
          </w:tcPr>
          <w:p w14:paraId="3211DD12" w14:textId="217B714C" w:rsidR="00F044AC" w:rsidRPr="006D0DFD" w:rsidRDefault="00F044AC" w:rsidP="00A83AB4">
            <w:pPr>
              <w:spacing w:after="120" w:line="480" w:lineRule="auto"/>
              <w:contextualSpacing/>
              <w:jc w:val="center"/>
            </w:pPr>
            <w:r>
              <w:t>ECHA (</w:t>
            </w:r>
            <w:r w:rsidR="00FE191A">
              <w:t xml:space="preserve">extracted from the US EPA </w:t>
            </w:r>
            <w:proofErr w:type="spellStart"/>
            <w:r w:rsidR="00FE191A">
              <w:t>CompTox</w:t>
            </w:r>
            <w:proofErr w:type="spellEnd"/>
            <w:r w:rsidR="00A53CA4">
              <w:t xml:space="preserve"> Chemicals D</w:t>
            </w:r>
            <w:r w:rsidR="00FE191A">
              <w:t>ashboard</w:t>
            </w:r>
            <w:r>
              <w:t>)</w:t>
            </w:r>
          </w:p>
        </w:tc>
      </w:tr>
      <w:tr w:rsidR="00F044AC" w14:paraId="065CAB7C" w14:textId="77777777" w:rsidTr="008B18F2">
        <w:trPr>
          <w:trHeight w:val="1757"/>
        </w:trPr>
        <w:tc>
          <w:tcPr>
            <w:tcW w:w="1526" w:type="dxa"/>
            <w:vAlign w:val="center"/>
          </w:tcPr>
          <w:p w14:paraId="430378EC" w14:textId="77777777" w:rsidR="00F044AC" w:rsidRDefault="00F044AC" w:rsidP="00A83AB4">
            <w:pPr>
              <w:spacing w:after="120" w:line="480" w:lineRule="auto"/>
              <w:jc w:val="center"/>
              <w:rPr>
                <w:rFonts w:ascii="Calibri" w:hAnsi="Calibri" w:cs="Calibri"/>
              </w:rPr>
            </w:pPr>
            <w:r>
              <w:rPr>
                <w:rFonts w:ascii="Calibri" w:hAnsi="Calibri" w:cs="Calibri"/>
              </w:rPr>
              <w:t>Ketoconazole</w:t>
            </w:r>
          </w:p>
          <w:p w14:paraId="381B5263" w14:textId="5B69E9AF" w:rsidR="00F044AC" w:rsidRPr="00DC1043" w:rsidRDefault="00F044AC" w:rsidP="00A83AB4">
            <w:pPr>
              <w:spacing w:after="120" w:line="480" w:lineRule="auto"/>
              <w:jc w:val="center"/>
              <w:rPr>
                <w:rFonts w:ascii="Calibri" w:hAnsi="Calibri" w:cs="Calibri"/>
                <w:color w:val="000000"/>
              </w:rPr>
            </w:pPr>
            <w:r>
              <w:rPr>
                <w:rFonts w:ascii="Calibri" w:hAnsi="Calibri" w:cs="Calibri"/>
                <w:color w:val="000000"/>
              </w:rPr>
              <w:t>65277-42-1</w:t>
            </w:r>
          </w:p>
        </w:tc>
        <w:tc>
          <w:tcPr>
            <w:tcW w:w="4678" w:type="dxa"/>
            <w:gridSpan w:val="2"/>
            <w:vAlign w:val="center"/>
          </w:tcPr>
          <w:p w14:paraId="0B34795C" w14:textId="01DCC594" w:rsidR="00F044AC" w:rsidRDefault="00A84646" w:rsidP="00A83AB4">
            <w:pPr>
              <w:spacing w:after="120" w:line="480" w:lineRule="auto"/>
              <w:contextualSpacing/>
              <w:jc w:val="center"/>
              <w:rPr>
                <w:noProof/>
                <w:lang w:val="pt-BR" w:eastAsia="pt-BR"/>
              </w:rPr>
            </w:pPr>
            <w:r w:rsidRPr="00A84646">
              <w:rPr>
                <w:noProof/>
                <w:lang w:eastAsia="en-GB"/>
              </w:rPr>
              <w:drawing>
                <wp:inline distT="0" distB="0" distL="0" distR="0" wp14:anchorId="0D948221" wp14:editId="1550EAC9">
                  <wp:extent cx="2689126" cy="10800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9126" cy="1080000"/>
                          </a:xfrm>
                          <a:prstGeom prst="rect">
                            <a:avLst/>
                          </a:prstGeom>
                          <a:noFill/>
                          <a:ln>
                            <a:noFill/>
                          </a:ln>
                        </pic:spPr>
                      </pic:pic>
                    </a:graphicData>
                  </a:graphic>
                </wp:inline>
              </w:drawing>
            </w:r>
          </w:p>
        </w:tc>
        <w:tc>
          <w:tcPr>
            <w:tcW w:w="1417" w:type="dxa"/>
            <w:vAlign w:val="center"/>
          </w:tcPr>
          <w:p w14:paraId="77206648" w14:textId="0D19F49F" w:rsidR="00F044AC" w:rsidRDefault="00F044AC" w:rsidP="00A83AB4">
            <w:pPr>
              <w:spacing w:after="120" w:line="480" w:lineRule="auto"/>
              <w:jc w:val="center"/>
            </w:pPr>
            <w:r>
              <w:rPr>
                <w:rFonts w:ascii="Calibri" w:hAnsi="Calibri" w:cs="Calibri"/>
              </w:rPr>
              <w:t>6.5</w:t>
            </w:r>
          </w:p>
        </w:tc>
        <w:tc>
          <w:tcPr>
            <w:tcW w:w="1559" w:type="dxa"/>
            <w:vAlign w:val="center"/>
          </w:tcPr>
          <w:p w14:paraId="3100CA46" w14:textId="531EE0F3" w:rsidR="00F044AC" w:rsidRDefault="00F044AC" w:rsidP="00A83AB4">
            <w:pPr>
              <w:spacing w:after="120" w:line="480" w:lineRule="auto"/>
              <w:jc w:val="center"/>
            </w:pPr>
            <w:r>
              <w:t xml:space="preserve">NITE </w:t>
            </w:r>
            <w:r w:rsidR="00A53CA4">
              <w:t xml:space="preserve">(extracted from the US EPA </w:t>
            </w:r>
            <w:proofErr w:type="spellStart"/>
            <w:r w:rsidR="00A53CA4">
              <w:t>CompTox</w:t>
            </w:r>
            <w:proofErr w:type="spellEnd"/>
            <w:r w:rsidR="00A53CA4">
              <w:t xml:space="preserve"> Chemicals Dashboard)</w:t>
            </w:r>
          </w:p>
        </w:tc>
      </w:tr>
    </w:tbl>
    <w:p w14:paraId="711920C7" w14:textId="77777777" w:rsidR="00F42F1E" w:rsidRDefault="00F42F1E" w:rsidP="00A83AB4">
      <w:pPr>
        <w:spacing w:after="120" w:line="480" w:lineRule="auto"/>
        <w:jc w:val="both"/>
      </w:pPr>
    </w:p>
    <w:p w14:paraId="388B3BFE" w14:textId="407C9502" w:rsidR="009045CA" w:rsidRDefault="009045CA" w:rsidP="00A83AB4">
      <w:pPr>
        <w:spacing w:after="120" w:line="480" w:lineRule="auto"/>
        <w:jc w:val="both"/>
        <w:rPr>
          <w:i/>
          <w:iCs/>
        </w:rPr>
      </w:pPr>
    </w:p>
    <w:p w14:paraId="066D4446" w14:textId="47FF6C3F" w:rsidR="00732B6F" w:rsidRPr="000566BF" w:rsidRDefault="00620530" w:rsidP="00A83AB4">
      <w:pPr>
        <w:spacing w:after="120" w:line="480" w:lineRule="auto"/>
        <w:jc w:val="both"/>
        <w:rPr>
          <w:color w:val="000000" w:themeColor="text1"/>
        </w:rPr>
      </w:pPr>
      <w:r w:rsidRPr="000566BF">
        <w:rPr>
          <w:color w:val="000000" w:themeColor="text1"/>
        </w:rPr>
        <w:t xml:space="preserve">The sources of information </w:t>
      </w:r>
      <w:r w:rsidR="000566BF" w:rsidRPr="000566BF">
        <w:rPr>
          <w:color w:val="000000" w:themeColor="text1"/>
        </w:rPr>
        <w:t xml:space="preserve">drawn upon </w:t>
      </w:r>
      <w:r w:rsidRPr="000566BF">
        <w:rPr>
          <w:color w:val="000000" w:themeColor="text1"/>
        </w:rPr>
        <w:t xml:space="preserve">to </w:t>
      </w:r>
      <w:r w:rsidR="008D56D3" w:rsidRPr="000566BF">
        <w:rPr>
          <w:color w:val="000000" w:themeColor="text1"/>
        </w:rPr>
        <w:t>address the criteria</w:t>
      </w:r>
      <w:r w:rsidR="000566BF" w:rsidRPr="000566BF">
        <w:rPr>
          <w:color w:val="000000" w:themeColor="text1"/>
        </w:rPr>
        <w:t xml:space="preserve"> </w:t>
      </w:r>
      <w:r w:rsidR="008D56D3" w:rsidRPr="000566BF">
        <w:rPr>
          <w:color w:val="000000" w:themeColor="text1"/>
        </w:rPr>
        <w:t>describ</w:t>
      </w:r>
      <w:r w:rsidR="000566BF" w:rsidRPr="000566BF">
        <w:rPr>
          <w:color w:val="000000" w:themeColor="text1"/>
        </w:rPr>
        <w:t>ing</w:t>
      </w:r>
      <w:r w:rsidRPr="000566BF">
        <w:rPr>
          <w:color w:val="000000" w:themeColor="text1"/>
        </w:rPr>
        <w:t xml:space="preserve"> </w:t>
      </w:r>
      <w:r w:rsidR="00816F61" w:rsidRPr="000566BF">
        <w:rPr>
          <w:color w:val="000000" w:themeColor="text1"/>
        </w:rPr>
        <w:t xml:space="preserve">read-across </w:t>
      </w:r>
      <w:r w:rsidR="008D56D3" w:rsidRPr="000566BF">
        <w:rPr>
          <w:color w:val="000000" w:themeColor="text1"/>
        </w:rPr>
        <w:t xml:space="preserve">domain </w:t>
      </w:r>
      <w:r w:rsidR="00646BAC">
        <w:t>are detailed in Table 4</w:t>
      </w:r>
      <w:r w:rsidR="00255928">
        <w:t xml:space="preserve"> [</w:t>
      </w:r>
      <w:r w:rsidR="00EB3463">
        <w:t>18</w:t>
      </w:r>
      <w:r w:rsidR="00255928">
        <w:t>, 3</w:t>
      </w:r>
      <w:r w:rsidR="00EB3463">
        <w:t>7</w:t>
      </w:r>
      <w:r w:rsidR="00255928">
        <w:t>]</w:t>
      </w:r>
      <w:r w:rsidR="00646BAC">
        <w:t xml:space="preserve"> and </w:t>
      </w:r>
      <w:r w:rsidR="00816F61" w:rsidRPr="000566BF">
        <w:rPr>
          <w:color w:val="000000" w:themeColor="text1"/>
        </w:rPr>
        <w:t xml:space="preserve">were all publicly available. </w:t>
      </w:r>
      <w:r w:rsidR="00816F61">
        <w:t xml:space="preserve">They represented either </w:t>
      </w:r>
      <w:r w:rsidR="00473459">
        <w:t xml:space="preserve">databases or </w:t>
      </w:r>
      <w:r w:rsidR="00473459">
        <w:rPr>
          <w:i/>
          <w:iCs/>
        </w:rPr>
        <w:t xml:space="preserve">in silico </w:t>
      </w:r>
      <w:r w:rsidR="00473459">
        <w:t xml:space="preserve">software </w:t>
      </w:r>
      <w:r w:rsidR="00F10D39">
        <w:t>accessible</w:t>
      </w:r>
      <w:r w:rsidR="00473459">
        <w:t xml:space="preserve"> without charge. </w:t>
      </w:r>
      <w:r w:rsidR="000566BF">
        <w:t>I</w:t>
      </w:r>
      <w:r w:rsidR="00473459" w:rsidRPr="000566BF">
        <w:rPr>
          <w:color w:val="000000" w:themeColor="text1"/>
        </w:rPr>
        <w:t xml:space="preserve">t is acknowledged that there are many other </w:t>
      </w:r>
      <w:r w:rsidR="000566BF">
        <w:rPr>
          <w:color w:val="000000" w:themeColor="text1"/>
        </w:rPr>
        <w:t xml:space="preserve">such </w:t>
      </w:r>
      <w:r w:rsidR="00473459" w:rsidRPr="000566BF">
        <w:rPr>
          <w:color w:val="000000" w:themeColor="text1"/>
        </w:rPr>
        <w:t xml:space="preserve">sources, both freely </w:t>
      </w:r>
      <w:r w:rsidR="00891E36" w:rsidRPr="000566BF">
        <w:rPr>
          <w:color w:val="000000" w:themeColor="text1"/>
        </w:rPr>
        <w:t xml:space="preserve">and commercially </w:t>
      </w:r>
      <w:r w:rsidR="00473459" w:rsidRPr="000566BF">
        <w:rPr>
          <w:color w:val="000000" w:themeColor="text1"/>
        </w:rPr>
        <w:t>available</w:t>
      </w:r>
      <w:r w:rsidR="00C366B9" w:rsidRPr="000566BF">
        <w:rPr>
          <w:color w:val="000000" w:themeColor="text1"/>
        </w:rPr>
        <w:t>,</w:t>
      </w:r>
      <w:r w:rsidR="00891E36" w:rsidRPr="000566BF">
        <w:rPr>
          <w:color w:val="000000" w:themeColor="text1"/>
        </w:rPr>
        <w:t xml:space="preserve"> that the user may wish to use</w:t>
      </w:r>
      <w:r w:rsidR="002E014E" w:rsidRPr="000566BF">
        <w:rPr>
          <w:color w:val="000000" w:themeColor="text1"/>
        </w:rPr>
        <w:t>.</w:t>
      </w:r>
    </w:p>
    <w:p w14:paraId="0BCE9936" w14:textId="77777777" w:rsidR="006B561C" w:rsidRPr="000566BF" w:rsidRDefault="006B561C" w:rsidP="00A83AB4">
      <w:pPr>
        <w:spacing w:after="120" w:line="480" w:lineRule="auto"/>
        <w:rPr>
          <w:color w:val="000000" w:themeColor="text1"/>
        </w:rPr>
      </w:pPr>
    </w:p>
    <w:p w14:paraId="312D08FC" w14:textId="36844818" w:rsidR="00793F91" w:rsidRDefault="00793F91" w:rsidP="00A83AB4">
      <w:pPr>
        <w:spacing w:after="120" w:line="480" w:lineRule="auto"/>
        <w:sectPr w:rsidR="00793F91" w:rsidSect="00B640AC">
          <w:type w:val="nextColumn"/>
          <w:pgSz w:w="11906" w:h="16838"/>
          <w:pgMar w:top="1440" w:right="1440" w:bottom="1440" w:left="1440" w:header="709" w:footer="709" w:gutter="0"/>
          <w:lnNumType w:countBy="1" w:restart="continuous"/>
          <w:cols w:space="708"/>
          <w:docGrid w:linePitch="360"/>
        </w:sectPr>
      </w:pPr>
    </w:p>
    <w:p w14:paraId="558C9788" w14:textId="0437077F" w:rsidR="00732B6F" w:rsidRDefault="00620530" w:rsidP="00A83AB4">
      <w:pPr>
        <w:spacing w:after="120" w:line="480" w:lineRule="auto"/>
      </w:pPr>
      <w:r>
        <w:t>Table 4.</w:t>
      </w:r>
      <w:r w:rsidR="00891E36">
        <w:t xml:space="preserve"> Sources of information defin</w:t>
      </w:r>
      <w:r w:rsidR="00E3200F">
        <w:t>ing</w:t>
      </w:r>
      <w:r w:rsidR="00891E36">
        <w:t xml:space="preserve"> the criteria</w:t>
      </w:r>
      <w:r w:rsidR="008D3DC3" w:rsidRPr="00FE661B">
        <w:rPr>
          <w:color w:val="FF0000"/>
        </w:rPr>
        <w:t xml:space="preserve"> </w:t>
      </w:r>
      <w:r w:rsidR="008D3DC3">
        <w:t xml:space="preserve">addressed in the read-across domain. </w:t>
      </w:r>
    </w:p>
    <w:p w14:paraId="3F12AC91" w14:textId="77777777" w:rsidR="006B561C" w:rsidRDefault="006B561C" w:rsidP="00A83AB4">
      <w:pPr>
        <w:spacing w:after="120" w:line="480" w:lineRule="auto"/>
      </w:pPr>
    </w:p>
    <w:tbl>
      <w:tblPr>
        <w:tblStyle w:val="TableGrid"/>
        <w:tblW w:w="0" w:type="auto"/>
        <w:tblLayout w:type="fixed"/>
        <w:tblLook w:val="04A0" w:firstRow="1" w:lastRow="0" w:firstColumn="1" w:lastColumn="0" w:noHBand="0" w:noVBand="1"/>
      </w:tblPr>
      <w:tblGrid>
        <w:gridCol w:w="2119"/>
        <w:gridCol w:w="3263"/>
        <w:gridCol w:w="3260"/>
        <w:gridCol w:w="4820"/>
      </w:tblGrid>
      <w:tr w:rsidR="00B76C6A" w:rsidRPr="0024103B" w14:paraId="791B4FED" w14:textId="77777777" w:rsidTr="007F5B59">
        <w:tc>
          <w:tcPr>
            <w:tcW w:w="2119" w:type="dxa"/>
          </w:tcPr>
          <w:p w14:paraId="4A7313BD" w14:textId="220E3AC1" w:rsidR="00B76C6A" w:rsidRPr="0024103B" w:rsidRDefault="004436E9" w:rsidP="00A83AB4">
            <w:pPr>
              <w:spacing w:after="120" w:line="480" w:lineRule="auto"/>
            </w:pPr>
            <w:r w:rsidRPr="0024103B">
              <w:t>Criteria</w:t>
            </w:r>
          </w:p>
        </w:tc>
        <w:tc>
          <w:tcPr>
            <w:tcW w:w="3263" w:type="dxa"/>
          </w:tcPr>
          <w:p w14:paraId="3BC90411" w14:textId="3F0A21E9" w:rsidR="00B76C6A" w:rsidRPr="0024103B" w:rsidRDefault="002E014E" w:rsidP="00A83AB4">
            <w:pPr>
              <w:spacing w:after="120" w:line="480" w:lineRule="auto"/>
            </w:pPr>
            <w:r w:rsidRPr="0024103B">
              <w:t>Type of information</w:t>
            </w:r>
          </w:p>
        </w:tc>
        <w:tc>
          <w:tcPr>
            <w:tcW w:w="3260" w:type="dxa"/>
          </w:tcPr>
          <w:p w14:paraId="09F126E7" w14:textId="38541486" w:rsidR="00B76C6A" w:rsidRPr="0024103B" w:rsidRDefault="00B76C6A" w:rsidP="00A83AB4">
            <w:pPr>
              <w:spacing w:after="120" w:line="480" w:lineRule="auto"/>
              <w:jc w:val="center"/>
            </w:pPr>
            <w:r w:rsidRPr="0024103B">
              <w:t>Resource</w:t>
            </w:r>
          </w:p>
        </w:tc>
        <w:tc>
          <w:tcPr>
            <w:tcW w:w="4820" w:type="dxa"/>
          </w:tcPr>
          <w:p w14:paraId="036E1356" w14:textId="704FF37D" w:rsidR="00B76C6A" w:rsidRPr="0024103B" w:rsidRDefault="00B76C6A" w:rsidP="00A83AB4">
            <w:pPr>
              <w:spacing w:after="120" w:line="480" w:lineRule="auto"/>
            </w:pPr>
            <w:r w:rsidRPr="0024103B">
              <w:t>Reference and / or URL</w:t>
            </w:r>
          </w:p>
        </w:tc>
      </w:tr>
      <w:tr w:rsidR="001267AF" w:rsidRPr="0024103B" w14:paraId="0D149617" w14:textId="77777777" w:rsidTr="007F5B59">
        <w:tc>
          <w:tcPr>
            <w:tcW w:w="13462" w:type="dxa"/>
            <w:gridSpan w:val="4"/>
          </w:tcPr>
          <w:p w14:paraId="24D9FEDB" w14:textId="77777777" w:rsidR="001267AF" w:rsidRPr="0024103B" w:rsidRDefault="001267AF" w:rsidP="00A83AB4">
            <w:pPr>
              <w:spacing w:after="120" w:line="480" w:lineRule="auto"/>
            </w:pPr>
          </w:p>
        </w:tc>
      </w:tr>
      <w:tr w:rsidR="00B76C6A" w:rsidRPr="0024103B" w14:paraId="01D07864" w14:textId="77777777" w:rsidTr="007F5B59">
        <w:tc>
          <w:tcPr>
            <w:tcW w:w="13462" w:type="dxa"/>
            <w:gridSpan w:val="4"/>
          </w:tcPr>
          <w:p w14:paraId="7B8D966B" w14:textId="50BF4F94" w:rsidR="00B76C6A" w:rsidRPr="0024103B" w:rsidRDefault="00B76C6A" w:rsidP="00A83AB4">
            <w:pPr>
              <w:spacing w:after="120" w:line="480" w:lineRule="auto"/>
              <w:jc w:val="center"/>
              <w:rPr>
                <w:b/>
                <w:bCs/>
              </w:rPr>
            </w:pPr>
            <w:r w:rsidRPr="0024103B">
              <w:rPr>
                <w:b/>
                <w:bCs/>
              </w:rPr>
              <w:t>Chemistry</w:t>
            </w:r>
          </w:p>
        </w:tc>
      </w:tr>
      <w:tr w:rsidR="001267AF" w:rsidRPr="0024103B" w14:paraId="185495A8" w14:textId="77777777" w:rsidTr="007F5B59">
        <w:tc>
          <w:tcPr>
            <w:tcW w:w="13462" w:type="dxa"/>
            <w:gridSpan w:val="4"/>
          </w:tcPr>
          <w:p w14:paraId="68EB35C4" w14:textId="77777777" w:rsidR="001267AF" w:rsidRPr="0024103B" w:rsidRDefault="001267AF" w:rsidP="00A83AB4">
            <w:pPr>
              <w:spacing w:after="120" w:line="480" w:lineRule="auto"/>
            </w:pPr>
          </w:p>
        </w:tc>
      </w:tr>
      <w:tr w:rsidR="00CB6E45" w:rsidRPr="0024103B" w14:paraId="5333A2A1" w14:textId="77777777" w:rsidTr="007F5B59">
        <w:tc>
          <w:tcPr>
            <w:tcW w:w="2119" w:type="dxa"/>
            <w:vMerge w:val="restart"/>
            <w:shd w:val="clear" w:color="auto" w:fill="auto"/>
          </w:tcPr>
          <w:p w14:paraId="7FFE1F40" w14:textId="365599D2" w:rsidR="00CB6E45" w:rsidRPr="00FB2EB5" w:rsidRDefault="00CB6E45" w:rsidP="00A83AB4">
            <w:pPr>
              <w:spacing w:after="120" w:line="480" w:lineRule="auto"/>
              <w:rPr>
                <w:color w:val="000000" w:themeColor="text1"/>
              </w:rPr>
            </w:pPr>
            <w:r w:rsidRPr="00FB2EB5">
              <w:rPr>
                <w:color w:val="000000" w:themeColor="text1"/>
              </w:rPr>
              <w:t xml:space="preserve">Chemical </w:t>
            </w:r>
            <w:r w:rsidR="001261ED">
              <w:rPr>
                <w:color w:val="000000" w:themeColor="text1"/>
              </w:rPr>
              <w:t>sub</w:t>
            </w:r>
            <w:r w:rsidRPr="00FB2EB5">
              <w:rPr>
                <w:color w:val="000000" w:themeColor="text1"/>
              </w:rPr>
              <w:t>structure</w:t>
            </w:r>
          </w:p>
        </w:tc>
        <w:tc>
          <w:tcPr>
            <w:tcW w:w="3263" w:type="dxa"/>
            <w:shd w:val="clear" w:color="auto" w:fill="auto"/>
          </w:tcPr>
          <w:p w14:paraId="5301D68E" w14:textId="0CD99389" w:rsidR="00CB6E45" w:rsidRPr="0024103B" w:rsidRDefault="00CB6E45" w:rsidP="00A83AB4">
            <w:pPr>
              <w:spacing w:after="120" w:line="480" w:lineRule="auto"/>
            </w:pPr>
            <w:r w:rsidRPr="0024103B">
              <w:t xml:space="preserve">Key structural fragment(s) for grouping </w:t>
            </w:r>
          </w:p>
        </w:tc>
        <w:tc>
          <w:tcPr>
            <w:tcW w:w="3260" w:type="dxa"/>
            <w:shd w:val="clear" w:color="auto" w:fill="auto"/>
          </w:tcPr>
          <w:p w14:paraId="0890EC9E" w14:textId="4BEB09A4" w:rsidR="00CB6E45" w:rsidRPr="0024103B" w:rsidRDefault="00CB6E45" w:rsidP="00A83AB4">
            <w:pPr>
              <w:spacing w:after="120" w:line="480" w:lineRule="auto"/>
            </w:pPr>
            <w:bookmarkStart w:id="4" w:name="_Hlk77847178"/>
            <w:r w:rsidRPr="0024103B">
              <w:t>OECD QSAR Toolbox</w:t>
            </w:r>
            <w:r w:rsidR="006005F6" w:rsidRPr="0024103B">
              <w:t>: Profilers for mechanisms or endpoints</w:t>
            </w:r>
            <w:bookmarkEnd w:id="4"/>
          </w:p>
        </w:tc>
        <w:tc>
          <w:tcPr>
            <w:tcW w:w="4820" w:type="dxa"/>
            <w:shd w:val="clear" w:color="auto" w:fill="auto"/>
          </w:tcPr>
          <w:p w14:paraId="3AD21382" w14:textId="7D894940" w:rsidR="00CB6E45" w:rsidRPr="0024103B" w:rsidRDefault="004962B5" w:rsidP="00A83AB4">
            <w:pPr>
              <w:spacing w:after="120" w:line="480" w:lineRule="auto"/>
            </w:pPr>
            <w:hyperlink r:id="rId31" w:history="1">
              <w:r w:rsidR="00204809" w:rsidRPr="0024103B">
                <w:rPr>
                  <w:rStyle w:val="Hyperlink"/>
                </w:rPr>
                <w:t>www.qsartoolbox.org</w:t>
              </w:r>
            </w:hyperlink>
          </w:p>
        </w:tc>
      </w:tr>
      <w:tr w:rsidR="00CB6E45" w:rsidRPr="0024103B" w14:paraId="7E2D1BFC" w14:textId="77777777" w:rsidTr="007F5B59">
        <w:tc>
          <w:tcPr>
            <w:tcW w:w="2119" w:type="dxa"/>
            <w:vMerge/>
            <w:shd w:val="clear" w:color="auto" w:fill="auto"/>
          </w:tcPr>
          <w:p w14:paraId="6E527DEF" w14:textId="77777777" w:rsidR="00CB6E45" w:rsidRPr="00CF18C5" w:rsidRDefault="00CB6E45" w:rsidP="00CF18C5">
            <w:pPr>
              <w:spacing w:after="120" w:line="480" w:lineRule="auto"/>
              <w:rPr>
                <w:color w:val="000000" w:themeColor="text1"/>
              </w:rPr>
            </w:pPr>
          </w:p>
        </w:tc>
        <w:tc>
          <w:tcPr>
            <w:tcW w:w="3263" w:type="dxa"/>
            <w:shd w:val="clear" w:color="auto" w:fill="auto"/>
          </w:tcPr>
          <w:p w14:paraId="6DB62F29" w14:textId="3AFAB826" w:rsidR="00CB6E45" w:rsidRPr="0024103B" w:rsidRDefault="00CB6E45" w:rsidP="00CF18C5">
            <w:pPr>
              <w:spacing w:after="120" w:line="480" w:lineRule="auto"/>
            </w:pPr>
            <w:r w:rsidRPr="0024103B">
              <w:t>Additional fragment(s) defining structure</w:t>
            </w:r>
          </w:p>
        </w:tc>
        <w:tc>
          <w:tcPr>
            <w:tcW w:w="3260" w:type="dxa"/>
            <w:shd w:val="clear" w:color="auto" w:fill="auto"/>
          </w:tcPr>
          <w:p w14:paraId="013C231F" w14:textId="454EBD88" w:rsidR="00CB6E45" w:rsidRPr="0024103B" w:rsidRDefault="006005F6" w:rsidP="00CF18C5">
            <w:pPr>
              <w:spacing w:after="120" w:line="480" w:lineRule="auto"/>
            </w:pPr>
            <w:r w:rsidRPr="0024103B">
              <w:t>OECD QSAR Toolbox: Profilers for functional groups</w:t>
            </w:r>
          </w:p>
        </w:tc>
        <w:tc>
          <w:tcPr>
            <w:tcW w:w="4820" w:type="dxa"/>
            <w:shd w:val="clear" w:color="auto" w:fill="auto"/>
          </w:tcPr>
          <w:p w14:paraId="7B1C0D09" w14:textId="01157CE8" w:rsidR="00CB6E45" w:rsidRPr="0024103B" w:rsidRDefault="004962B5" w:rsidP="00CF18C5">
            <w:pPr>
              <w:spacing w:after="120" w:line="480" w:lineRule="auto"/>
            </w:pPr>
            <w:hyperlink r:id="rId32" w:history="1">
              <w:r w:rsidR="00204809" w:rsidRPr="0024103B">
                <w:rPr>
                  <w:rStyle w:val="Hyperlink"/>
                </w:rPr>
                <w:t>www.qsartoolbox.org</w:t>
              </w:r>
            </w:hyperlink>
          </w:p>
        </w:tc>
      </w:tr>
      <w:tr w:rsidR="00B76C6A" w:rsidRPr="0024103B" w14:paraId="15C82451" w14:textId="77777777" w:rsidTr="007F5B59">
        <w:tc>
          <w:tcPr>
            <w:tcW w:w="2119" w:type="dxa"/>
            <w:shd w:val="clear" w:color="auto" w:fill="auto"/>
          </w:tcPr>
          <w:p w14:paraId="7EF2D872" w14:textId="4E274005" w:rsidR="00B76C6A" w:rsidRPr="00FB2EB5" w:rsidRDefault="001261ED" w:rsidP="00A83AB4">
            <w:pPr>
              <w:spacing w:after="120" w:line="480" w:lineRule="auto"/>
              <w:rPr>
                <w:color w:val="000000" w:themeColor="text1"/>
              </w:rPr>
            </w:pPr>
            <w:r>
              <w:rPr>
                <w:color w:val="000000" w:themeColor="text1"/>
              </w:rPr>
              <w:t>Molecular s</w:t>
            </w:r>
            <w:r w:rsidR="00B76C6A" w:rsidRPr="00FB2EB5">
              <w:rPr>
                <w:color w:val="000000" w:themeColor="text1"/>
              </w:rPr>
              <w:t xml:space="preserve">imilarity </w:t>
            </w:r>
          </w:p>
        </w:tc>
        <w:tc>
          <w:tcPr>
            <w:tcW w:w="3263" w:type="dxa"/>
            <w:shd w:val="clear" w:color="auto" w:fill="auto"/>
          </w:tcPr>
          <w:p w14:paraId="45668513" w14:textId="77777777" w:rsidR="00B76C6A" w:rsidRPr="0024103B" w:rsidRDefault="00B76C6A" w:rsidP="00A83AB4">
            <w:pPr>
              <w:spacing w:after="120" w:line="480" w:lineRule="auto"/>
            </w:pPr>
            <w:proofErr w:type="spellStart"/>
            <w:r w:rsidRPr="0024103B">
              <w:t>Tanimoto</w:t>
            </w:r>
            <w:proofErr w:type="spellEnd"/>
            <w:r w:rsidRPr="0024103B">
              <w:t xml:space="preserve"> coefficient calculated from PubChem fingerprints</w:t>
            </w:r>
          </w:p>
        </w:tc>
        <w:tc>
          <w:tcPr>
            <w:tcW w:w="3260" w:type="dxa"/>
            <w:shd w:val="clear" w:color="auto" w:fill="auto"/>
          </w:tcPr>
          <w:p w14:paraId="090C06E4" w14:textId="08BB52AD" w:rsidR="00B76C6A" w:rsidRPr="0024103B" w:rsidRDefault="00BE442F" w:rsidP="00A83AB4">
            <w:pPr>
              <w:spacing w:after="120" w:line="480" w:lineRule="auto"/>
            </w:pPr>
            <w:r w:rsidRPr="0024103B">
              <w:t>PubChem</w:t>
            </w:r>
          </w:p>
        </w:tc>
        <w:tc>
          <w:tcPr>
            <w:tcW w:w="4820" w:type="dxa"/>
            <w:shd w:val="clear" w:color="auto" w:fill="auto"/>
          </w:tcPr>
          <w:p w14:paraId="2D711C44" w14:textId="7870480D" w:rsidR="00B76C6A" w:rsidRPr="0024103B" w:rsidRDefault="00BE442F" w:rsidP="00A83AB4">
            <w:pPr>
              <w:spacing w:after="120" w:line="480" w:lineRule="auto"/>
            </w:pPr>
            <w:r w:rsidRPr="0024103B">
              <w:t>https://pubchem.ncbi.nlm.nih.gov/</w:t>
            </w:r>
          </w:p>
        </w:tc>
      </w:tr>
      <w:tr w:rsidR="00B76C6A" w:rsidRPr="0024103B" w14:paraId="77CD2F4A" w14:textId="77777777" w:rsidTr="007F5B59">
        <w:tc>
          <w:tcPr>
            <w:tcW w:w="2119" w:type="dxa"/>
            <w:shd w:val="clear" w:color="auto" w:fill="auto"/>
          </w:tcPr>
          <w:p w14:paraId="3A25EE0D" w14:textId="77777777" w:rsidR="00B76C6A" w:rsidRPr="00FB2EB5" w:rsidRDefault="00B76C6A" w:rsidP="006E5ECE">
            <w:pPr>
              <w:spacing w:after="120" w:line="480" w:lineRule="auto"/>
              <w:rPr>
                <w:color w:val="000000" w:themeColor="text1"/>
              </w:rPr>
            </w:pPr>
            <w:proofErr w:type="spellStart"/>
            <w:r w:rsidRPr="00FB2EB5">
              <w:rPr>
                <w:color w:val="000000" w:themeColor="text1"/>
              </w:rPr>
              <w:t>Physico</w:t>
            </w:r>
            <w:proofErr w:type="spellEnd"/>
            <w:r w:rsidRPr="00FB2EB5">
              <w:rPr>
                <w:color w:val="000000" w:themeColor="text1"/>
              </w:rPr>
              <w:t>-chemical properties</w:t>
            </w:r>
          </w:p>
        </w:tc>
        <w:tc>
          <w:tcPr>
            <w:tcW w:w="3263" w:type="dxa"/>
            <w:shd w:val="clear" w:color="auto" w:fill="auto"/>
          </w:tcPr>
          <w:p w14:paraId="5C2A2C28" w14:textId="2D763256" w:rsidR="00B76C6A" w:rsidRPr="0024103B" w:rsidRDefault="00B76C6A" w:rsidP="006E5ECE">
            <w:pPr>
              <w:spacing w:after="120" w:line="480" w:lineRule="auto"/>
            </w:pPr>
            <w:r w:rsidRPr="0024103B">
              <w:t xml:space="preserve">Various </w:t>
            </w:r>
            <w:proofErr w:type="spellStart"/>
            <w:r w:rsidRPr="0024103B">
              <w:t>physico</w:t>
            </w:r>
            <w:proofErr w:type="spellEnd"/>
            <w:r w:rsidRPr="0024103B">
              <w:t xml:space="preserve">-chemical properties </w:t>
            </w:r>
          </w:p>
        </w:tc>
        <w:tc>
          <w:tcPr>
            <w:tcW w:w="3260" w:type="dxa"/>
            <w:shd w:val="clear" w:color="auto" w:fill="auto"/>
          </w:tcPr>
          <w:p w14:paraId="58ECE6A7" w14:textId="62CDB84F" w:rsidR="00B76C6A" w:rsidRPr="0024103B" w:rsidRDefault="009F286E" w:rsidP="006E5ECE">
            <w:pPr>
              <w:spacing w:after="120" w:line="480" w:lineRule="auto"/>
            </w:pPr>
            <w:r w:rsidRPr="0024103B">
              <w:t>United States Environmental Protection Agency (US EPA) Computational Toxicology (</w:t>
            </w:r>
            <w:proofErr w:type="spellStart"/>
            <w:r w:rsidRPr="0024103B">
              <w:t>CompTox</w:t>
            </w:r>
            <w:proofErr w:type="spellEnd"/>
            <w:r w:rsidRPr="0024103B">
              <w:t>) Chemicals Dashboard</w:t>
            </w:r>
          </w:p>
        </w:tc>
        <w:tc>
          <w:tcPr>
            <w:tcW w:w="4820" w:type="dxa"/>
            <w:shd w:val="clear" w:color="auto" w:fill="auto"/>
          </w:tcPr>
          <w:p w14:paraId="135972A2" w14:textId="6E9DF433" w:rsidR="00B76C6A" w:rsidRPr="0024103B" w:rsidRDefault="004962B5" w:rsidP="006E5ECE">
            <w:pPr>
              <w:spacing w:after="120" w:line="480" w:lineRule="auto"/>
              <w:ind w:left="-29"/>
            </w:pPr>
            <w:hyperlink r:id="rId33" w:history="1">
              <w:r w:rsidR="00204809" w:rsidRPr="0024103B">
                <w:rPr>
                  <w:rStyle w:val="Hyperlink"/>
                </w:rPr>
                <w:t>https://comptox.epa.gov/dashboard</w:t>
              </w:r>
            </w:hyperlink>
          </w:p>
        </w:tc>
      </w:tr>
      <w:tr w:rsidR="0051406E" w:rsidRPr="0024103B" w14:paraId="302B0D44" w14:textId="77777777" w:rsidTr="007F5B59">
        <w:tc>
          <w:tcPr>
            <w:tcW w:w="13462" w:type="dxa"/>
            <w:gridSpan w:val="4"/>
          </w:tcPr>
          <w:p w14:paraId="09FE13D0" w14:textId="77777777" w:rsidR="0051406E" w:rsidRPr="0024103B" w:rsidRDefault="0051406E" w:rsidP="006E5ECE">
            <w:pPr>
              <w:spacing w:after="120" w:line="480" w:lineRule="auto"/>
            </w:pPr>
          </w:p>
        </w:tc>
      </w:tr>
      <w:tr w:rsidR="00B76C6A" w:rsidRPr="0024103B" w14:paraId="4326EE40" w14:textId="77777777" w:rsidTr="007F5B59">
        <w:tc>
          <w:tcPr>
            <w:tcW w:w="13462" w:type="dxa"/>
            <w:gridSpan w:val="4"/>
          </w:tcPr>
          <w:p w14:paraId="7BCB591F" w14:textId="46A16D21" w:rsidR="00B76C6A" w:rsidRPr="0024103B" w:rsidRDefault="00B76C6A" w:rsidP="006E5ECE">
            <w:pPr>
              <w:spacing w:after="120" w:line="480" w:lineRule="auto"/>
              <w:jc w:val="center"/>
              <w:rPr>
                <w:b/>
                <w:bCs/>
              </w:rPr>
            </w:pPr>
            <w:proofErr w:type="spellStart"/>
            <w:r w:rsidRPr="0024103B">
              <w:rPr>
                <w:b/>
                <w:bCs/>
              </w:rPr>
              <w:t>Toxicodynamics</w:t>
            </w:r>
            <w:proofErr w:type="spellEnd"/>
          </w:p>
        </w:tc>
      </w:tr>
      <w:tr w:rsidR="0051406E" w:rsidRPr="0024103B" w14:paraId="45B35B6D" w14:textId="77777777" w:rsidTr="007F5B59">
        <w:tc>
          <w:tcPr>
            <w:tcW w:w="13462" w:type="dxa"/>
            <w:gridSpan w:val="4"/>
          </w:tcPr>
          <w:p w14:paraId="0A87D8EF" w14:textId="77777777" w:rsidR="0051406E" w:rsidRPr="0024103B" w:rsidRDefault="0051406E" w:rsidP="006E5ECE">
            <w:pPr>
              <w:spacing w:after="120" w:line="480" w:lineRule="auto"/>
            </w:pPr>
          </w:p>
        </w:tc>
      </w:tr>
      <w:tr w:rsidR="007B21AA" w:rsidRPr="0024103B" w14:paraId="5CDBAB8F" w14:textId="77777777" w:rsidTr="007F5B59">
        <w:tc>
          <w:tcPr>
            <w:tcW w:w="2119" w:type="dxa"/>
            <w:vMerge w:val="restart"/>
          </w:tcPr>
          <w:p w14:paraId="0CC72F14" w14:textId="77777777" w:rsidR="007B21AA" w:rsidRPr="009D6F2E" w:rsidRDefault="007B21AA" w:rsidP="006E5ECE">
            <w:pPr>
              <w:spacing w:after="120" w:line="480" w:lineRule="auto"/>
              <w:rPr>
                <w:color w:val="FF0000"/>
              </w:rPr>
            </w:pPr>
            <w:r w:rsidRPr="001261ED">
              <w:rPr>
                <w:color w:val="000000" w:themeColor="text1"/>
              </w:rPr>
              <w:t>Toxicology</w:t>
            </w:r>
          </w:p>
        </w:tc>
        <w:tc>
          <w:tcPr>
            <w:tcW w:w="3263" w:type="dxa"/>
          </w:tcPr>
          <w:p w14:paraId="5065DADF" w14:textId="1AA5F2B9" w:rsidR="007B21AA" w:rsidRPr="0024103B" w:rsidRDefault="007B21AA" w:rsidP="006E5ECE">
            <w:pPr>
              <w:spacing w:after="120" w:line="480" w:lineRule="auto"/>
            </w:pPr>
            <w:r w:rsidRPr="0024103B">
              <w:t>Primary toxicity data</w:t>
            </w:r>
          </w:p>
        </w:tc>
        <w:tc>
          <w:tcPr>
            <w:tcW w:w="3260" w:type="dxa"/>
          </w:tcPr>
          <w:p w14:paraId="05D526FA" w14:textId="77777777" w:rsidR="007B21AA" w:rsidRPr="0024103B" w:rsidRDefault="007B21AA" w:rsidP="006E5ECE">
            <w:pPr>
              <w:spacing w:after="120" w:line="480" w:lineRule="auto"/>
              <w:rPr>
                <w:rFonts w:cstheme="minorHAnsi"/>
              </w:rPr>
            </w:pPr>
            <w:r w:rsidRPr="0024103B">
              <w:rPr>
                <w:rFonts w:cstheme="minorHAnsi"/>
              </w:rPr>
              <w:t xml:space="preserve">EFSA </w:t>
            </w:r>
            <w:proofErr w:type="spellStart"/>
            <w:r w:rsidRPr="0024103B">
              <w:rPr>
                <w:rFonts w:cstheme="minorHAnsi"/>
              </w:rPr>
              <w:t>OpenFoodTox</w:t>
            </w:r>
            <w:proofErr w:type="spellEnd"/>
            <w:r w:rsidRPr="0024103B">
              <w:rPr>
                <w:rFonts w:cstheme="minorHAnsi"/>
              </w:rPr>
              <w:t xml:space="preserve"> database*</w:t>
            </w:r>
          </w:p>
          <w:p w14:paraId="6E8A7739" w14:textId="6B8104F8" w:rsidR="007B21AA" w:rsidRPr="0024103B" w:rsidRDefault="007B21AA" w:rsidP="006E5ECE">
            <w:pPr>
              <w:spacing w:after="120" w:line="480" w:lineRule="auto"/>
            </w:pPr>
            <w:r w:rsidRPr="0024103B">
              <w:t>US EPA Chemicals Dashboard</w:t>
            </w:r>
          </w:p>
        </w:tc>
        <w:tc>
          <w:tcPr>
            <w:tcW w:w="4820" w:type="dxa"/>
          </w:tcPr>
          <w:p w14:paraId="510CBA38" w14:textId="3682D8F8" w:rsidR="007B21AA" w:rsidRPr="0024103B" w:rsidRDefault="004962B5" w:rsidP="006E5ECE">
            <w:pPr>
              <w:spacing w:after="120" w:line="480" w:lineRule="auto"/>
            </w:pPr>
            <w:hyperlink r:id="rId34" w:history="1">
              <w:r w:rsidR="007B21AA" w:rsidRPr="0024103B">
                <w:rPr>
                  <w:rStyle w:val="Hyperlink"/>
                  <w:rFonts w:cstheme="minorHAnsi"/>
                </w:rPr>
                <w:t>https://www.efsa.europa.eu/en/data/chemical-hazards-data</w:t>
              </w:r>
            </w:hyperlink>
            <w:r w:rsidR="007B21AA" w:rsidRPr="0024103B">
              <w:rPr>
                <w:rStyle w:val="Hyperlink"/>
                <w:rFonts w:cstheme="minorHAnsi"/>
              </w:rPr>
              <w:t xml:space="preserve">; </w:t>
            </w:r>
            <w:hyperlink r:id="rId35" w:history="1">
              <w:r w:rsidR="007B21AA" w:rsidRPr="0024103B">
                <w:rPr>
                  <w:rStyle w:val="Hyperlink"/>
                </w:rPr>
                <w:t>https://comptox.epa.gov/dashboard</w:t>
              </w:r>
            </w:hyperlink>
          </w:p>
        </w:tc>
      </w:tr>
      <w:tr w:rsidR="007B21AA" w:rsidRPr="0024103B" w14:paraId="29666EA3" w14:textId="77777777" w:rsidTr="007F5B59">
        <w:tc>
          <w:tcPr>
            <w:tcW w:w="2119" w:type="dxa"/>
            <w:vMerge/>
          </w:tcPr>
          <w:p w14:paraId="7251734C" w14:textId="77777777" w:rsidR="007B21AA" w:rsidRPr="00CF18C5" w:rsidRDefault="007B21AA" w:rsidP="00CF18C5">
            <w:pPr>
              <w:spacing w:after="120" w:line="480" w:lineRule="auto"/>
              <w:rPr>
                <w:color w:val="FF0000"/>
              </w:rPr>
            </w:pPr>
          </w:p>
        </w:tc>
        <w:tc>
          <w:tcPr>
            <w:tcW w:w="3263" w:type="dxa"/>
          </w:tcPr>
          <w:p w14:paraId="39C12F75" w14:textId="77777777" w:rsidR="007B21AA" w:rsidRPr="0024103B" w:rsidRDefault="007B21AA" w:rsidP="00CF18C5">
            <w:pPr>
              <w:spacing w:after="120" w:line="480" w:lineRule="auto"/>
            </w:pPr>
            <w:r w:rsidRPr="0024103B">
              <w:t>Non-standard data</w:t>
            </w:r>
          </w:p>
        </w:tc>
        <w:tc>
          <w:tcPr>
            <w:tcW w:w="3260" w:type="dxa"/>
          </w:tcPr>
          <w:p w14:paraId="3B703390" w14:textId="77777777" w:rsidR="007B21AA" w:rsidRPr="0024103B" w:rsidRDefault="007B21AA" w:rsidP="00CF18C5">
            <w:pPr>
              <w:spacing w:after="120" w:line="480" w:lineRule="auto"/>
            </w:pPr>
            <w:r w:rsidRPr="0024103B">
              <w:t>US EPA Chemicals Dashboard</w:t>
            </w:r>
          </w:p>
          <w:p w14:paraId="4346774B" w14:textId="5268DD5D" w:rsidR="00204809" w:rsidRPr="0024103B" w:rsidRDefault="00C366B9" w:rsidP="00CF18C5">
            <w:pPr>
              <w:spacing w:after="120" w:line="480" w:lineRule="auto"/>
            </w:pPr>
            <w:r w:rsidRPr="0024103B">
              <w:t>Pub</w:t>
            </w:r>
            <w:r>
              <w:t>C</w:t>
            </w:r>
            <w:r w:rsidRPr="0024103B">
              <w:t>hem</w:t>
            </w:r>
          </w:p>
        </w:tc>
        <w:tc>
          <w:tcPr>
            <w:tcW w:w="4820" w:type="dxa"/>
          </w:tcPr>
          <w:p w14:paraId="015B3F48" w14:textId="7976BA44" w:rsidR="007B21AA" w:rsidRPr="0024103B" w:rsidRDefault="004962B5" w:rsidP="00CF18C5">
            <w:pPr>
              <w:spacing w:after="120" w:line="480" w:lineRule="auto"/>
            </w:pPr>
            <w:hyperlink r:id="rId36" w:history="1">
              <w:r w:rsidR="007B21AA" w:rsidRPr="0024103B">
                <w:rPr>
                  <w:rStyle w:val="Hyperlink"/>
                </w:rPr>
                <w:t>https://comptox.epa.gov/dashboard</w:t>
              </w:r>
            </w:hyperlink>
            <w:r w:rsidR="00204809" w:rsidRPr="0024103B">
              <w:t>; https://pubchem.ncbi.nlm.nih.gov/compound/</w:t>
            </w:r>
          </w:p>
        </w:tc>
      </w:tr>
      <w:tr w:rsidR="007B21AA" w:rsidRPr="0024103B" w14:paraId="0F718CFC" w14:textId="77777777" w:rsidTr="007F5B59">
        <w:tc>
          <w:tcPr>
            <w:tcW w:w="2119" w:type="dxa"/>
            <w:vMerge/>
          </w:tcPr>
          <w:p w14:paraId="59AF3F3A" w14:textId="77777777" w:rsidR="007B21AA" w:rsidRPr="00CF18C5" w:rsidRDefault="007B21AA" w:rsidP="00CF18C5">
            <w:pPr>
              <w:spacing w:after="120" w:line="480" w:lineRule="auto"/>
              <w:rPr>
                <w:color w:val="FF0000"/>
              </w:rPr>
            </w:pPr>
          </w:p>
        </w:tc>
        <w:tc>
          <w:tcPr>
            <w:tcW w:w="3263" w:type="dxa"/>
          </w:tcPr>
          <w:p w14:paraId="33197002" w14:textId="77777777" w:rsidR="007B21AA" w:rsidRPr="0024103B" w:rsidRDefault="007B21AA" w:rsidP="00CF18C5">
            <w:pPr>
              <w:spacing w:after="120" w:line="480" w:lineRule="auto"/>
            </w:pPr>
            <w:r w:rsidRPr="0024103B">
              <w:t>Data for other (related) endpoints</w:t>
            </w:r>
          </w:p>
        </w:tc>
        <w:tc>
          <w:tcPr>
            <w:tcW w:w="3260" w:type="dxa"/>
          </w:tcPr>
          <w:p w14:paraId="71EAD1B1" w14:textId="1C011B8B" w:rsidR="007B21AA" w:rsidRPr="0024103B" w:rsidRDefault="00C366B9" w:rsidP="00CF18C5">
            <w:pPr>
              <w:spacing w:after="120" w:line="480" w:lineRule="auto"/>
            </w:pPr>
            <w:r w:rsidRPr="0024103B">
              <w:t>Pub</w:t>
            </w:r>
            <w:r>
              <w:t>C</w:t>
            </w:r>
            <w:r w:rsidRPr="0024103B">
              <w:t>hem</w:t>
            </w:r>
          </w:p>
        </w:tc>
        <w:tc>
          <w:tcPr>
            <w:tcW w:w="4820" w:type="dxa"/>
          </w:tcPr>
          <w:p w14:paraId="587B72C1" w14:textId="5216EB36" w:rsidR="007B21AA" w:rsidRPr="0024103B" w:rsidRDefault="00204809" w:rsidP="00CF18C5">
            <w:pPr>
              <w:spacing w:after="120" w:line="480" w:lineRule="auto"/>
            </w:pPr>
            <w:r w:rsidRPr="0024103B">
              <w:t>https://pubchem.ncbi.nlm.nih.gov/compound/</w:t>
            </w:r>
          </w:p>
        </w:tc>
      </w:tr>
      <w:tr w:rsidR="007B21AA" w:rsidRPr="0024103B" w14:paraId="24988E48" w14:textId="77777777" w:rsidTr="007F5B59">
        <w:tc>
          <w:tcPr>
            <w:tcW w:w="2119" w:type="dxa"/>
            <w:vMerge/>
          </w:tcPr>
          <w:p w14:paraId="77EAB3D3" w14:textId="77777777" w:rsidR="007B21AA" w:rsidRPr="00CF18C5" w:rsidRDefault="007B21AA" w:rsidP="00CF18C5">
            <w:pPr>
              <w:spacing w:after="120" w:line="480" w:lineRule="auto"/>
              <w:rPr>
                <w:color w:val="FF0000"/>
              </w:rPr>
            </w:pPr>
          </w:p>
        </w:tc>
        <w:tc>
          <w:tcPr>
            <w:tcW w:w="3263" w:type="dxa"/>
          </w:tcPr>
          <w:p w14:paraId="0201AB2E" w14:textId="77777777" w:rsidR="007B21AA" w:rsidRPr="0024103B" w:rsidRDefault="007B21AA" w:rsidP="00CF18C5">
            <w:pPr>
              <w:spacing w:after="120" w:line="480" w:lineRule="auto"/>
            </w:pPr>
          </w:p>
        </w:tc>
        <w:tc>
          <w:tcPr>
            <w:tcW w:w="3260" w:type="dxa"/>
          </w:tcPr>
          <w:p w14:paraId="1510AB33" w14:textId="77777777" w:rsidR="007B21AA" w:rsidRPr="0024103B" w:rsidRDefault="007B21AA" w:rsidP="00CF18C5">
            <w:pPr>
              <w:spacing w:after="120" w:line="480" w:lineRule="auto"/>
            </w:pPr>
          </w:p>
        </w:tc>
        <w:tc>
          <w:tcPr>
            <w:tcW w:w="4820" w:type="dxa"/>
          </w:tcPr>
          <w:p w14:paraId="3B8492CE" w14:textId="77777777" w:rsidR="007B21AA" w:rsidRPr="0024103B" w:rsidRDefault="007B21AA" w:rsidP="00CF18C5">
            <w:pPr>
              <w:spacing w:after="120" w:line="480" w:lineRule="auto"/>
            </w:pPr>
          </w:p>
        </w:tc>
      </w:tr>
      <w:tr w:rsidR="007B21AA" w:rsidRPr="0024103B" w14:paraId="28AFC0F0" w14:textId="77777777" w:rsidTr="007F5B59">
        <w:tc>
          <w:tcPr>
            <w:tcW w:w="2119" w:type="dxa"/>
          </w:tcPr>
          <w:p w14:paraId="0B9729D0" w14:textId="52CFD216" w:rsidR="007B21AA" w:rsidRPr="009D6F2E" w:rsidRDefault="007B21AA" w:rsidP="006E5ECE">
            <w:pPr>
              <w:spacing w:after="120" w:line="480" w:lineRule="auto"/>
              <w:rPr>
                <w:color w:val="FF0000"/>
              </w:rPr>
            </w:pPr>
            <w:r w:rsidRPr="001261ED">
              <w:rPr>
                <w:color w:val="000000" w:themeColor="text1"/>
              </w:rPr>
              <w:t>M</w:t>
            </w:r>
            <w:r w:rsidR="001261ED">
              <w:rPr>
                <w:color w:val="000000" w:themeColor="text1"/>
              </w:rPr>
              <w:t xml:space="preserve">olecular </w:t>
            </w:r>
            <w:r w:rsidRPr="001261ED">
              <w:rPr>
                <w:color w:val="000000" w:themeColor="text1"/>
              </w:rPr>
              <w:t>I</w:t>
            </w:r>
            <w:r w:rsidR="001261ED">
              <w:rPr>
                <w:color w:val="000000" w:themeColor="text1"/>
              </w:rPr>
              <w:t xml:space="preserve">nitiating </w:t>
            </w:r>
            <w:r w:rsidRPr="001261ED">
              <w:rPr>
                <w:color w:val="000000" w:themeColor="text1"/>
              </w:rPr>
              <w:t>E</w:t>
            </w:r>
            <w:r w:rsidR="001261ED">
              <w:rPr>
                <w:color w:val="000000" w:themeColor="text1"/>
              </w:rPr>
              <w:t>vent</w:t>
            </w:r>
          </w:p>
        </w:tc>
        <w:tc>
          <w:tcPr>
            <w:tcW w:w="3263" w:type="dxa"/>
          </w:tcPr>
          <w:p w14:paraId="412BD93E" w14:textId="7858BBC1" w:rsidR="007B21AA" w:rsidRPr="0024103B" w:rsidRDefault="007B21AA" w:rsidP="006E5ECE">
            <w:pPr>
              <w:spacing w:after="120" w:line="480" w:lineRule="auto"/>
            </w:pPr>
            <w:r w:rsidRPr="0024103B">
              <w:t xml:space="preserve">Definition according to type of interaction </w:t>
            </w:r>
          </w:p>
        </w:tc>
        <w:tc>
          <w:tcPr>
            <w:tcW w:w="3260" w:type="dxa"/>
          </w:tcPr>
          <w:p w14:paraId="4A3A00B5" w14:textId="7CF4D545" w:rsidR="007B21AA" w:rsidRPr="0024103B" w:rsidRDefault="007B21AA" w:rsidP="006E5ECE">
            <w:pPr>
              <w:spacing w:after="120" w:line="480" w:lineRule="auto"/>
            </w:pPr>
            <w:r w:rsidRPr="0024103B">
              <w:t>Scheme to classify MIEs according to the nature of the interaction</w:t>
            </w:r>
          </w:p>
        </w:tc>
        <w:tc>
          <w:tcPr>
            <w:tcW w:w="4820" w:type="dxa"/>
          </w:tcPr>
          <w:p w14:paraId="2E39E9C9" w14:textId="09BB80C5" w:rsidR="007B21AA" w:rsidRPr="0024103B" w:rsidRDefault="007B21AA" w:rsidP="006E5ECE">
            <w:pPr>
              <w:spacing w:after="120" w:line="480" w:lineRule="auto"/>
            </w:pPr>
            <w:r w:rsidRPr="0024103B">
              <w:t xml:space="preserve">Cronin and </w:t>
            </w:r>
            <w:proofErr w:type="spellStart"/>
            <w:r w:rsidRPr="0024103B">
              <w:t>Richarz</w:t>
            </w:r>
            <w:proofErr w:type="spellEnd"/>
            <w:r w:rsidRPr="0024103B">
              <w:t xml:space="preserve"> </w:t>
            </w:r>
            <w:r w:rsidR="00255928">
              <w:rPr>
                <w:bCs/>
              </w:rPr>
              <w:t>[</w:t>
            </w:r>
            <w:r w:rsidR="00EB3463">
              <w:rPr>
                <w:bCs/>
              </w:rPr>
              <w:t>18</w:t>
            </w:r>
            <w:r w:rsidR="00255928">
              <w:rPr>
                <w:bCs/>
              </w:rPr>
              <w:t>]</w:t>
            </w:r>
          </w:p>
        </w:tc>
      </w:tr>
      <w:tr w:rsidR="007B21AA" w:rsidRPr="0024103B" w14:paraId="0203C71B" w14:textId="77777777" w:rsidTr="007F5B59">
        <w:tc>
          <w:tcPr>
            <w:tcW w:w="2119" w:type="dxa"/>
            <w:vMerge w:val="restart"/>
          </w:tcPr>
          <w:p w14:paraId="798978AC" w14:textId="77777777" w:rsidR="007B21AA" w:rsidRPr="009D6F2E" w:rsidRDefault="007B21AA" w:rsidP="006E5ECE">
            <w:pPr>
              <w:spacing w:after="120" w:line="480" w:lineRule="auto"/>
              <w:rPr>
                <w:color w:val="FF0000"/>
              </w:rPr>
            </w:pPr>
            <w:r w:rsidRPr="001261ED">
              <w:rPr>
                <w:color w:val="000000" w:themeColor="text1"/>
              </w:rPr>
              <w:t>Mechanistic analysis</w:t>
            </w:r>
          </w:p>
        </w:tc>
        <w:tc>
          <w:tcPr>
            <w:tcW w:w="3263" w:type="dxa"/>
          </w:tcPr>
          <w:p w14:paraId="29E7553F" w14:textId="389B4BD8" w:rsidR="007B21AA" w:rsidRPr="0024103B" w:rsidRDefault="007B21AA" w:rsidP="006E5ECE">
            <w:pPr>
              <w:spacing w:after="120" w:line="480" w:lineRule="auto"/>
            </w:pPr>
            <w:r w:rsidRPr="004D47CA">
              <w:rPr>
                <w:i/>
                <w:iCs/>
              </w:rPr>
              <w:t>In silico</w:t>
            </w:r>
            <w:r w:rsidRPr="0024103B">
              <w:t xml:space="preserve"> screening </w:t>
            </w:r>
          </w:p>
        </w:tc>
        <w:tc>
          <w:tcPr>
            <w:tcW w:w="3260" w:type="dxa"/>
          </w:tcPr>
          <w:p w14:paraId="2ABE27FB" w14:textId="239A4726" w:rsidR="007B21AA" w:rsidRPr="0024103B" w:rsidRDefault="007B21AA" w:rsidP="006E5ECE">
            <w:pPr>
              <w:spacing w:after="120" w:line="480" w:lineRule="auto"/>
            </w:pPr>
            <w:r w:rsidRPr="0024103B">
              <w:t>OECD QSAR Toolbox (</w:t>
            </w:r>
            <w:proofErr w:type="spellStart"/>
            <w:r w:rsidRPr="0024103B">
              <w:t>ver</w:t>
            </w:r>
            <w:proofErr w:type="spellEnd"/>
            <w:r w:rsidRPr="0024103B">
              <w:t xml:space="preserve"> 4.4.1) mechanistic profilers</w:t>
            </w:r>
          </w:p>
        </w:tc>
        <w:tc>
          <w:tcPr>
            <w:tcW w:w="4820" w:type="dxa"/>
          </w:tcPr>
          <w:p w14:paraId="5C1096B5" w14:textId="2E53A0E9" w:rsidR="007B21AA" w:rsidRPr="0024103B" w:rsidRDefault="004962B5" w:rsidP="006E5ECE">
            <w:pPr>
              <w:spacing w:after="120" w:line="480" w:lineRule="auto"/>
            </w:pPr>
            <w:hyperlink r:id="rId37" w:history="1">
              <w:r w:rsidR="007B21AA" w:rsidRPr="0024103B">
                <w:rPr>
                  <w:rStyle w:val="Hyperlink"/>
                </w:rPr>
                <w:t>www.qsartoolbox.org</w:t>
              </w:r>
            </w:hyperlink>
          </w:p>
        </w:tc>
      </w:tr>
      <w:tr w:rsidR="007B21AA" w:rsidRPr="0024103B" w14:paraId="3A6A37A7" w14:textId="77777777" w:rsidTr="007F5B59">
        <w:trPr>
          <w:trHeight w:val="946"/>
        </w:trPr>
        <w:tc>
          <w:tcPr>
            <w:tcW w:w="2119" w:type="dxa"/>
            <w:vMerge/>
          </w:tcPr>
          <w:p w14:paraId="65F9F6E0" w14:textId="77777777" w:rsidR="007B21AA" w:rsidRPr="0024103B" w:rsidRDefault="007B21AA" w:rsidP="00CF18C5">
            <w:pPr>
              <w:spacing w:after="120" w:line="480" w:lineRule="auto"/>
            </w:pPr>
          </w:p>
        </w:tc>
        <w:tc>
          <w:tcPr>
            <w:tcW w:w="3263" w:type="dxa"/>
          </w:tcPr>
          <w:p w14:paraId="4180E5B0" w14:textId="38BAC0A2" w:rsidR="007B21AA" w:rsidRPr="0024103B" w:rsidRDefault="007B21AA" w:rsidP="00CF18C5">
            <w:pPr>
              <w:spacing w:after="120" w:line="480" w:lineRule="auto"/>
            </w:pPr>
            <w:proofErr w:type="spellStart"/>
            <w:r w:rsidRPr="0024103B">
              <w:t>ToxCast</w:t>
            </w:r>
            <w:proofErr w:type="spellEnd"/>
            <w:r w:rsidRPr="0024103B">
              <w:t xml:space="preserve"> Data</w:t>
            </w:r>
          </w:p>
        </w:tc>
        <w:tc>
          <w:tcPr>
            <w:tcW w:w="3260" w:type="dxa"/>
          </w:tcPr>
          <w:p w14:paraId="08F87A84" w14:textId="1AA70375" w:rsidR="007B21AA" w:rsidRPr="0024103B" w:rsidRDefault="007B21AA" w:rsidP="00CF18C5">
            <w:pPr>
              <w:spacing w:after="120" w:line="480" w:lineRule="auto"/>
            </w:pPr>
            <w:r w:rsidRPr="0024103B">
              <w:t>US EPA Chemicals Dashboard</w:t>
            </w:r>
          </w:p>
        </w:tc>
        <w:tc>
          <w:tcPr>
            <w:tcW w:w="4820" w:type="dxa"/>
          </w:tcPr>
          <w:p w14:paraId="3F80CACF" w14:textId="22C20FED" w:rsidR="007B21AA" w:rsidRPr="0024103B" w:rsidRDefault="004962B5" w:rsidP="00CF18C5">
            <w:pPr>
              <w:spacing w:after="120" w:line="480" w:lineRule="auto"/>
            </w:pPr>
            <w:hyperlink r:id="rId38" w:history="1">
              <w:r w:rsidR="007B21AA" w:rsidRPr="0024103B">
                <w:rPr>
                  <w:rStyle w:val="Hyperlink"/>
                </w:rPr>
                <w:t>https://comptox.epa.gov/dashboard</w:t>
              </w:r>
            </w:hyperlink>
          </w:p>
        </w:tc>
      </w:tr>
      <w:tr w:rsidR="00204809" w:rsidRPr="0024103B" w14:paraId="3FD5C45F" w14:textId="77777777" w:rsidTr="007F5B59">
        <w:tc>
          <w:tcPr>
            <w:tcW w:w="2119" w:type="dxa"/>
            <w:vMerge/>
          </w:tcPr>
          <w:p w14:paraId="095DC5F1" w14:textId="77777777" w:rsidR="00204809" w:rsidRPr="0024103B" w:rsidRDefault="00204809" w:rsidP="00CF18C5">
            <w:pPr>
              <w:spacing w:after="120" w:line="480" w:lineRule="auto"/>
            </w:pPr>
          </w:p>
        </w:tc>
        <w:tc>
          <w:tcPr>
            <w:tcW w:w="3263" w:type="dxa"/>
          </w:tcPr>
          <w:p w14:paraId="6D7F53DD" w14:textId="349A9C77" w:rsidR="00204809" w:rsidRPr="0024103B" w:rsidRDefault="00204809" w:rsidP="00CF18C5">
            <w:pPr>
              <w:spacing w:after="120" w:line="480" w:lineRule="auto"/>
            </w:pPr>
            <w:r w:rsidRPr="0024103B">
              <w:t>Other mechanistic data</w:t>
            </w:r>
          </w:p>
        </w:tc>
        <w:tc>
          <w:tcPr>
            <w:tcW w:w="3260" w:type="dxa"/>
          </w:tcPr>
          <w:p w14:paraId="48C130A8" w14:textId="70EB3FB2" w:rsidR="00204809" w:rsidRPr="0024103B" w:rsidRDefault="00C366B9" w:rsidP="00CF18C5">
            <w:pPr>
              <w:spacing w:after="120" w:line="480" w:lineRule="auto"/>
            </w:pPr>
            <w:r w:rsidRPr="0024103B">
              <w:t>Pub</w:t>
            </w:r>
            <w:r>
              <w:t>C</w:t>
            </w:r>
            <w:r w:rsidRPr="0024103B">
              <w:t>hem</w:t>
            </w:r>
          </w:p>
        </w:tc>
        <w:tc>
          <w:tcPr>
            <w:tcW w:w="4820" w:type="dxa"/>
          </w:tcPr>
          <w:p w14:paraId="3674821C" w14:textId="4CEC1292" w:rsidR="00204809" w:rsidRPr="0024103B" w:rsidRDefault="00204809" w:rsidP="00CF18C5">
            <w:pPr>
              <w:spacing w:after="120" w:line="480" w:lineRule="auto"/>
            </w:pPr>
            <w:r w:rsidRPr="0024103B">
              <w:t>https://pubchem.ncbi.nlm.nih.gov/compound/</w:t>
            </w:r>
          </w:p>
        </w:tc>
      </w:tr>
      <w:tr w:rsidR="00204809" w:rsidRPr="0024103B" w14:paraId="0DE3AB3C" w14:textId="77777777" w:rsidTr="007F5B59">
        <w:tc>
          <w:tcPr>
            <w:tcW w:w="13462" w:type="dxa"/>
            <w:gridSpan w:val="4"/>
          </w:tcPr>
          <w:p w14:paraId="792083CE" w14:textId="77777777" w:rsidR="00204809" w:rsidRPr="0024103B" w:rsidRDefault="00204809" w:rsidP="006E5ECE">
            <w:pPr>
              <w:spacing w:after="120" w:line="480" w:lineRule="auto"/>
            </w:pPr>
          </w:p>
        </w:tc>
      </w:tr>
      <w:tr w:rsidR="00204809" w:rsidRPr="0024103B" w14:paraId="014AEC71" w14:textId="77777777" w:rsidTr="007F5B59">
        <w:tc>
          <w:tcPr>
            <w:tcW w:w="13462" w:type="dxa"/>
            <w:gridSpan w:val="4"/>
          </w:tcPr>
          <w:p w14:paraId="185B4AA2" w14:textId="6DF75647" w:rsidR="00204809" w:rsidRPr="0024103B" w:rsidRDefault="00204809" w:rsidP="006E5ECE">
            <w:pPr>
              <w:spacing w:after="120" w:line="480" w:lineRule="auto"/>
              <w:jc w:val="center"/>
              <w:rPr>
                <w:b/>
                <w:bCs/>
              </w:rPr>
            </w:pPr>
            <w:proofErr w:type="spellStart"/>
            <w:r w:rsidRPr="0024103B">
              <w:rPr>
                <w:b/>
                <w:bCs/>
              </w:rPr>
              <w:t>Toxicokinetics</w:t>
            </w:r>
            <w:proofErr w:type="spellEnd"/>
          </w:p>
        </w:tc>
      </w:tr>
      <w:tr w:rsidR="00204809" w:rsidRPr="0024103B" w14:paraId="3142ED6F" w14:textId="77777777" w:rsidTr="007F5B59">
        <w:tc>
          <w:tcPr>
            <w:tcW w:w="13462" w:type="dxa"/>
            <w:gridSpan w:val="4"/>
          </w:tcPr>
          <w:p w14:paraId="6B90E8E1" w14:textId="77777777" w:rsidR="00204809" w:rsidRPr="0024103B" w:rsidRDefault="00204809" w:rsidP="006E5ECE">
            <w:pPr>
              <w:spacing w:after="120" w:line="480" w:lineRule="auto"/>
            </w:pPr>
          </w:p>
        </w:tc>
      </w:tr>
      <w:tr w:rsidR="00204809" w:rsidRPr="0024103B" w14:paraId="6B1E6545" w14:textId="77777777" w:rsidTr="007F5B59">
        <w:tc>
          <w:tcPr>
            <w:tcW w:w="2119" w:type="dxa"/>
            <w:vMerge w:val="restart"/>
          </w:tcPr>
          <w:p w14:paraId="722CD763" w14:textId="4EA41767" w:rsidR="00204809" w:rsidRPr="001261ED" w:rsidRDefault="00204809" w:rsidP="006E5ECE">
            <w:pPr>
              <w:spacing w:after="120" w:line="480" w:lineRule="auto"/>
              <w:rPr>
                <w:color w:val="000000" w:themeColor="text1"/>
              </w:rPr>
            </w:pPr>
            <w:r w:rsidRPr="001261ED">
              <w:rPr>
                <w:color w:val="000000" w:themeColor="text1"/>
              </w:rPr>
              <w:t>Absorption, distribution</w:t>
            </w:r>
            <w:r w:rsidR="003529F8">
              <w:rPr>
                <w:color w:val="000000" w:themeColor="text1"/>
              </w:rPr>
              <w:t xml:space="preserve">, metabolism </w:t>
            </w:r>
            <w:r w:rsidRPr="001261ED">
              <w:rPr>
                <w:color w:val="000000" w:themeColor="text1"/>
              </w:rPr>
              <w:t>and excretion</w:t>
            </w:r>
          </w:p>
        </w:tc>
        <w:tc>
          <w:tcPr>
            <w:tcW w:w="3263" w:type="dxa"/>
          </w:tcPr>
          <w:p w14:paraId="3D4FF2D1" w14:textId="337A4FDB" w:rsidR="00204809" w:rsidRPr="0024103B" w:rsidRDefault="00204809" w:rsidP="006E5ECE">
            <w:pPr>
              <w:spacing w:after="120" w:line="480" w:lineRule="auto"/>
            </w:pPr>
            <w:r w:rsidRPr="0024103B">
              <w:t xml:space="preserve">Absorption, Distribution, </w:t>
            </w:r>
            <w:r w:rsidR="003529F8" w:rsidRPr="00E3200F">
              <w:rPr>
                <w:color w:val="000000" w:themeColor="text1"/>
              </w:rPr>
              <w:t>Metabolism</w:t>
            </w:r>
            <w:r w:rsidR="003529F8" w:rsidRPr="0024103B">
              <w:t xml:space="preserve">, </w:t>
            </w:r>
            <w:r w:rsidRPr="0024103B">
              <w:t>Half-life</w:t>
            </w:r>
          </w:p>
        </w:tc>
        <w:tc>
          <w:tcPr>
            <w:tcW w:w="3260" w:type="dxa"/>
          </w:tcPr>
          <w:p w14:paraId="3F230D86" w14:textId="06E608D7" w:rsidR="00204809" w:rsidRPr="0024103B" w:rsidRDefault="00204809" w:rsidP="006E5ECE">
            <w:pPr>
              <w:spacing w:after="120" w:line="480" w:lineRule="auto"/>
            </w:pPr>
            <w:r w:rsidRPr="0024103B">
              <w:rPr>
                <w:rFonts w:cstheme="minorHAnsi"/>
              </w:rPr>
              <w:t xml:space="preserve">EFSA </w:t>
            </w:r>
            <w:proofErr w:type="spellStart"/>
            <w:r w:rsidRPr="0024103B">
              <w:rPr>
                <w:rFonts w:cstheme="minorHAnsi"/>
              </w:rPr>
              <w:t>OpenFoodTox</w:t>
            </w:r>
            <w:proofErr w:type="spellEnd"/>
            <w:r w:rsidRPr="0024103B">
              <w:rPr>
                <w:rFonts w:cstheme="minorHAnsi"/>
              </w:rPr>
              <w:t xml:space="preserve"> database; </w:t>
            </w:r>
            <w:r w:rsidR="00C366B9" w:rsidRPr="0024103B">
              <w:t>Pub</w:t>
            </w:r>
            <w:r w:rsidR="00C366B9">
              <w:t>C</w:t>
            </w:r>
            <w:r w:rsidR="00C366B9" w:rsidRPr="0024103B">
              <w:t>hem</w:t>
            </w:r>
          </w:p>
        </w:tc>
        <w:tc>
          <w:tcPr>
            <w:tcW w:w="4820" w:type="dxa"/>
          </w:tcPr>
          <w:p w14:paraId="3ECAA01A" w14:textId="370EF81B" w:rsidR="00C366B9" w:rsidRPr="0024103B" w:rsidRDefault="004962B5" w:rsidP="006E5ECE">
            <w:pPr>
              <w:spacing w:after="120" w:line="480" w:lineRule="auto"/>
            </w:pPr>
            <w:hyperlink r:id="rId39" w:history="1">
              <w:r w:rsidR="00204809" w:rsidRPr="0024103B">
                <w:rPr>
                  <w:rStyle w:val="Hyperlink"/>
                  <w:rFonts w:cstheme="minorHAnsi"/>
                </w:rPr>
                <w:t>https://www.efsa.europa.eu/en/data/chemical-hazards-data</w:t>
              </w:r>
            </w:hyperlink>
            <w:r w:rsidR="00204809" w:rsidRPr="0024103B">
              <w:rPr>
                <w:rStyle w:val="Hyperlink"/>
                <w:rFonts w:cstheme="minorHAnsi"/>
              </w:rPr>
              <w:t xml:space="preserve">; </w:t>
            </w:r>
            <w:hyperlink r:id="rId40" w:history="1">
              <w:r w:rsidR="00C366B9" w:rsidRPr="00675B67">
                <w:rPr>
                  <w:rStyle w:val="Hyperlink"/>
                </w:rPr>
                <w:t>https://pubchem.ncbi.nlm.nih.gov/compound/</w:t>
              </w:r>
            </w:hyperlink>
          </w:p>
        </w:tc>
      </w:tr>
      <w:tr w:rsidR="00204809" w:rsidRPr="0024103B" w14:paraId="44A55161" w14:textId="77777777" w:rsidTr="007F5B59">
        <w:tc>
          <w:tcPr>
            <w:tcW w:w="2119" w:type="dxa"/>
            <w:vMerge/>
          </w:tcPr>
          <w:p w14:paraId="3EC3A57F" w14:textId="77777777" w:rsidR="00204809" w:rsidRPr="00CF18C5" w:rsidRDefault="00204809" w:rsidP="00CF18C5">
            <w:pPr>
              <w:spacing w:after="120" w:line="480" w:lineRule="auto"/>
              <w:rPr>
                <w:color w:val="000000" w:themeColor="text1"/>
              </w:rPr>
            </w:pPr>
          </w:p>
        </w:tc>
        <w:tc>
          <w:tcPr>
            <w:tcW w:w="3263" w:type="dxa"/>
          </w:tcPr>
          <w:p w14:paraId="72B0D585" w14:textId="220BE2B2" w:rsidR="00204809" w:rsidRPr="0024103B" w:rsidRDefault="00204809" w:rsidP="00CF18C5">
            <w:pPr>
              <w:spacing w:after="120" w:line="480" w:lineRule="auto"/>
            </w:pPr>
            <w:r w:rsidRPr="0024103B">
              <w:t xml:space="preserve">Physiologically-Based Pharmacokinetics (PBPK) model predictions of distribution </w:t>
            </w:r>
          </w:p>
        </w:tc>
        <w:tc>
          <w:tcPr>
            <w:tcW w:w="3260" w:type="dxa"/>
          </w:tcPr>
          <w:p w14:paraId="04FC4E19" w14:textId="765663F0" w:rsidR="00204809" w:rsidRPr="0024103B" w:rsidRDefault="00204809" w:rsidP="00CF18C5">
            <w:pPr>
              <w:spacing w:after="120" w:line="480" w:lineRule="auto"/>
            </w:pPr>
            <w:r w:rsidRPr="0024103B">
              <w:t>National Institute of Environmental Health Sciences Integrated Chemical Environment (NEIHS ICE)</w:t>
            </w:r>
          </w:p>
        </w:tc>
        <w:tc>
          <w:tcPr>
            <w:tcW w:w="4820" w:type="dxa"/>
          </w:tcPr>
          <w:p w14:paraId="5E4CD572" w14:textId="6B44F727" w:rsidR="00204809" w:rsidRPr="0024103B" w:rsidRDefault="004962B5" w:rsidP="006E5ECE">
            <w:pPr>
              <w:spacing w:after="120" w:line="480" w:lineRule="auto"/>
            </w:pPr>
            <w:hyperlink r:id="rId41" w:history="1">
              <w:r w:rsidR="00204809" w:rsidRPr="0024103B">
                <w:rPr>
                  <w:rStyle w:val="Hyperlink"/>
                </w:rPr>
                <w:t>https://ice.ntp.niehs.nih.gov/Tools</w:t>
              </w:r>
            </w:hyperlink>
            <w:r w:rsidR="00204809" w:rsidRPr="0024103B">
              <w:t>; Bell et al.</w:t>
            </w:r>
            <w:r w:rsidR="00255928">
              <w:t xml:space="preserve"> [3</w:t>
            </w:r>
            <w:r w:rsidR="00EB3463">
              <w:t>7</w:t>
            </w:r>
            <w:r w:rsidR="00255928">
              <w:t>]</w:t>
            </w:r>
            <w:r w:rsidR="00204809" w:rsidRPr="0024103B">
              <w:t xml:space="preserve"> </w:t>
            </w:r>
          </w:p>
        </w:tc>
      </w:tr>
      <w:tr w:rsidR="00204809" w14:paraId="31F69797" w14:textId="77777777" w:rsidTr="007F5B59">
        <w:tc>
          <w:tcPr>
            <w:tcW w:w="2119" w:type="dxa"/>
          </w:tcPr>
          <w:p w14:paraId="27364414" w14:textId="373DEF57" w:rsidR="00C6546B" w:rsidRPr="001261ED" w:rsidRDefault="00C6546B" w:rsidP="006E5ECE">
            <w:pPr>
              <w:spacing w:after="120" w:line="480" w:lineRule="auto"/>
              <w:rPr>
                <w:color w:val="000000" w:themeColor="text1"/>
              </w:rPr>
            </w:pPr>
            <w:r>
              <w:rPr>
                <w:color w:val="000000" w:themeColor="text1"/>
              </w:rPr>
              <w:t>Metabolite formation</w:t>
            </w:r>
          </w:p>
        </w:tc>
        <w:tc>
          <w:tcPr>
            <w:tcW w:w="3263" w:type="dxa"/>
          </w:tcPr>
          <w:p w14:paraId="67DE7234" w14:textId="77777777" w:rsidR="00204809" w:rsidRPr="0024103B" w:rsidRDefault="00204809" w:rsidP="006E5ECE">
            <w:pPr>
              <w:spacing w:after="120" w:line="480" w:lineRule="auto"/>
            </w:pPr>
            <w:r w:rsidRPr="0024103B">
              <w:t>Significant metabolites</w:t>
            </w:r>
          </w:p>
        </w:tc>
        <w:tc>
          <w:tcPr>
            <w:tcW w:w="3260" w:type="dxa"/>
          </w:tcPr>
          <w:p w14:paraId="5BD024E8" w14:textId="09E3A52F" w:rsidR="00204809" w:rsidRPr="0024103B" w:rsidRDefault="00204809" w:rsidP="006E5ECE">
            <w:pPr>
              <w:spacing w:after="120" w:line="480" w:lineRule="auto"/>
            </w:pPr>
            <w:r w:rsidRPr="0024103B">
              <w:t>OECD QSAR Toolbox (</w:t>
            </w:r>
            <w:proofErr w:type="spellStart"/>
            <w:r w:rsidRPr="0024103B">
              <w:t>ver</w:t>
            </w:r>
            <w:proofErr w:type="spellEnd"/>
            <w:r w:rsidRPr="0024103B">
              <w:t xml:space="preserve"> 4.4.1)</w:t>
            </w:r>
          </w:p>
        </w:tc>
        <w:tc>
          <w:tcPr>
            <w:tcW w:w="4820" w:type="dxa"/>
          </w:tcPr>
          <w:p w14:paraId="5B24C753" w14:textId="63DB2532" w:rsidR="00204809" w:rsidRPr="00464D79" w:rsidRDefault="004962B5" w:rsidP="006E5ECE">
            <w:pPr>
              <w:spacing w:after="120" w:line="480" w:lineRule="auto"/>
            </w:pPr>
            <w:hyperlink r:id="rId42" w:history="1">
              <w:r w:rsidR="00204809" w:rsidRPr="0024103B">
                <w:rPr>
                  <w:rStyle w:val="Hyperlink"/>
                </w:rPr>
                <w:t>www.qsartoolbox.org</w:t>
              </w:r>
            </w:hyperlink>
          </w:p>
        </w:tc>
      </w:tr>
    </w:tbl>
    <w:p w14:paraId="25B78E73" w14:textId="77777777" w:rsidR="003C24CF" w:rsidRDefault="003C24CF" w:rsidP="006E5ECE">
      <w:pPr>
        <w:spacing w:after="120" w:line="480" w:lineRule="auto"/>
      </w:pPr>
    </w:p>
    <w:p w14:paraId="07C94DE2" w14:textId="77777777" w:rsidR="003C24CF" w:rsidRDefault="003C24CF" w:rsidP="006E5ECE">
      <w:pPr>
        <w:spacing w:after="120" w:line="480" w:lineRule="auto"/>
      </w:pPr>
    </w:p>
    <w:p w14:paraId="4E033A1A" w14:textId="77777777" w:rsidR="003C24CF" w:rsidRDefault="003C24CF" w:rsidP="00CF18C5">
      <w:pPr>
        <w:spacing w:after="120" w:line="480" w:lineRule="auto"/>
      </w:pPr>
      <w:r>
        <w:br w:type="page"/>
      </w:r>
    </w:p>
    <w:p w14:paraId="09C819B7" w14:textId="77777777" w:rsidR="003C24CF" w:rsidRDefault="003C24CF" w:rsidP="00CF18C5">
      <w:pPr>
        <w:pStyle w:val="ListParagraph"/>
        <w:numPr>
          <w:ilvl w:val="1"/>
          <w:numId w:val="7"/>
        </w:numPr>
        <w:spacing w:after="120" w:line="480" w:lineRule="auto"/>
        <w:rPr>
          <w:i/>
        </w:rPr>
        <w:sectPr w:rsidR="003C24CF" w:rsidSect="00B640AC">
          <w:type w:val="nextColumn"/>
          <w:pgSz w:w="16838" w:h="11906" w:orient="landscape"/>
          <w:pgMar w:top="1440" w:right="1440" w:bottom="1440" w:left="1440" w:header="709" w:footer="709" w:gutter="0"/>
          <w:lnNumType w:countBy="1" w:restart="continuous"/>
          <w:cols w:space="708"/>
          <w:docGrid w:linePitch="360"/>
        </w:sectPr>
      </w:pPr>
    </w:p>
    <w:p w14:paraId="695BEE4B" w14:textId="5CA0396E" w:rsidR="003C24CF" w:rsidRPr="00E3200F" w:rsidRDefault="003C24CF" w:rsidP="00CF18C5">
      <w:pPr>
        <w:pStyle w:val="ListParagraph"/>
        <w:numPr>
          <w:ilvl w:val="1"/>
          <w:numId w:val="7"/>
        </w:numPr>
        <w:spacing w:after="120" w:line="480" w:lineRule="auto"/>
        <w:rPr>
          <w:i/>
        </w:rPr>
      </w:pPr>
      <w:r w:rsidRPr="00E3200F">
        <w:rPr>
          <w:i/>
        </w:rPr>
        <w:t>Applying the Applicability Domain Criteria to Different Types of Read-Across</w:t>
      </w:r>
    </w:p>
    <w:p w14:paraId="1F08A9A3" w14:textId="77777777" w:rsidR="003C24CF" w:rsidRDefault="003C24CF" w:rsidP="00CF18C5">
      <w:pPr>
        <w:spacing w:after="120" w:line="480" w:lineRule="auto"/>
      </w:pPr>
    </w:p>
    <w:p w14:paraId="7C8DB112" w14:textId="55481EA7" w:rsidR="003C24CF" w:rsidRDefault="003C24CF" w:rsidP="00CF18C5">
      <w:pPr>
        <w:spacing w:after="120" w:line="480" w:lineRule="auto"/>
      </w:pPr>
      <w:r>
        <w:t xml:space="preserve">The criteria for the definition of an analogue or category approach, based on structurally-similar source chemicals, can also be applied to other types of read-across with some adaptations. </w:t>
      </w:r>
      <w:r w:rsidR="004754E8">
        <w:t xml:space="preserve"> The following read-across approaches were also considered:</w:t>
      </w:r>
    </w:p>
    <w:p w14:paraId="65C37088" w14:textId="77777777" w:rsidR="004754E8" w:rsidRDefault="004754E8" w:rsidP="00CF18C5">
      <w:pPr>
        <w:spacing w:after="120" w:line="480" w:lineRule="auto"/>
      </w:pPr>
    </w:p>
    <w:p w14:paraId="6249C25D" w14:textId="1BE3BE6D" w:rsidR="003E271F" w:rsidRDefault="004754E8" w:rsidP="00CF18C5">
      <w:pPr>
        <w:pStyle w:val="ListParagraph"/>
        <w:numPr>
          <w:ilvl w:val="0"/>
          <w:numId w:val="10"/>
        </w:numPr>
        <w:spacing w:after="120" w:line="480" w:lineRule="auto"/>
      </w:pPr>
      <w:r>
        <w:t xml:space="preserve">formation of a  common metabolite or degradant </w:t>
      </w:r>
      <w:r w:rsidR="00255928">
        <w:rPr>
          <w:bCs/>
        </w:rPr>
        <w:t>[</w:t>
      </w:r>
      <w:r w:rsidR="00EB3463">
        <w:rPr>
          <w:bCs/>
        </w:rPr>
        <w:t>38</w:t>
      </w:r>
      <w:r w:rsidR="00255928">
        <w:rPr>
          <w:bCs/>
        </w:rPr>
        <w:t>]</w:t>
      </w:r>
    </w:p>
    <w:p w14:paraId="6EA63576" w14:textId="43CE0267" w:rsidR="004754E8" w:rsidRDefault="004754E8" w:rsidP="00CF18C5">
      <w:pPr>
        <w:pStyle w:val="ListParagraph"/>
        <w:numPr>
          <w:ilvl w:val="0"/>
          <w:numId w:val="10"/>
        </w:numPr>
        <w:spacing w:after="120" w:line="480" w:lineRule="auto"/>
      </w:pPr>
      <w:r>
        <w:t>so-called “biological read-across”</w:t>
      </w:r>
      <w:r w:rsidR="003E271F">
        <w:t xml:space="preserve"> </w:t>
      </w:r>
      <w:r w:rsidR="00255928">
        <w:rPr>
          <w:bCs/>
        </w:rPr>
        <w:t>[</w:t>
      </w:r>
      <w:r w:rsidR="00EB3463">
        <w:rPr>
          <w:bCs/>
        </w:rPr>
        <w:t>16</w:t>
      </w:r>
      <w:r w:rsidR="00255928">
        <w:rPr>
          <w:bCs/>
        </w:rPr>
        <w:t xml:space="preserve">, </w:t>
      </w:r>
      <w:r w:rsidR="00EB3463">
        <w:rPr>
          <w:bCs/>
        </w:rPr>
        <w:t>39</w:t>
      </w:r>
      <w:r w:rsidR="00255928">
        <w:rPr>
          <w:bCs/>
        </w:rPr>
        <w:t>]</w:t>
      </w:r>
    </w:p>
    <w:p w14:paraId="35301337" w14:textId="2C311962" w:rsidR="003E271F" w:rsidRDefault="004754E8" w:rsidP="00CF18C5">
      <w:pPr>
        <w:pStyle w:val="ListParagraph"/>
        <w:numPr>
          <w:ilvl w:val="0"/>
          <w:numId w:val="10"/>
        </w:numPr>
        <w:spacing w:after="120" w:line="480" w:lineRule="auto"/>
      </w:pPr>
      <w:r>
        <w:t xml:space="preserve">UVCBs or mixtures </w:t>
      </w:r>
      <w:r w:rsidR="00EB3463">
        <w:t>[40</w:t>
      </w:r>
      <w:r w:rsidR="00255928">
        <w:t>]</w:t>
      </w:r>
    </w:p>
    <w:p w14:paraId="69435D42" w14:textId="77777777" w:rsidR="003E271F" w:rsidRDefault="003E271F" w:rsidP="00CF18C5">
      <w:pPr>
        <w:spacing w:after="120" w:line="480" w:lineRule="auto"/>
      </w:pPr>
    </w:p>
    <w:p w14:paraId="0A7BBD25" w14:textId="77777777" w:rsidR="005C1897" w:rsidRDefault="005C1897" w:rsidP="00CF18C5">
      <w:pPr>
        <w:spacing w:after="120" w:line="480" w:lineRule="auto"/>
      </w:pPr>
    </w:p>
    <w:p w14:paraId="0667FBF4" w14:textId="7C9B81F2" w:rsidR="008D3DC3" w:rsidRPr="00C8249B" w:rsidRDefault="00C8249B" w:rsidP="00CF18C5">
      <w:pPr>
        <w:pStyle w:val="ListParagraph"/>
        <w:numPr>
          <w:ilvl w:val="0"/>
          <w:numId w:val="7"/>
        </w:numPr>
        <w:spacing w:after="120" w:line="480" w:lineRule="auto"/>
        <w:jc w:val="both"/>
        <w:rPr>
          <w:b/>
          <w:bCs/>
        </w:rPr>
      </w:pPr>
      <w:r w:rsidRPr="00C8249B">
        <w:rPr>
          <w:b/>
          <w:bCs/>
        </w:rPr>
        <w:t>Results</w:t>
      </w:r>
    </w:p>
    <w:p w14:paraId="2968CE9C" w14:textId="77777777" w:rsidR="00732B6F" w:rsidRDefault="00732B6F" w:rsidP="00CF18C5">
      <w:pPr>
        <w:spacing w:after="120" w:line="480" w:lineRule="auto"/>
        <w:jc w:val="both"/>
        <w:rPr>
          <w:i/>
          <w:iCs/>
        </w:rPr>
      </w:pPr>
    </w:p>
    <w:p w14:paraId="7EF200D6" w14:textId="2682EC64" w:rsidR="00676A85" w:rsidRPr="00DE7DD5" w:rsidRDefault="00785D4E" w:rsidP="00CF18C5">
      <w:pPr>
        <w:spacing w:after="120" w:line="480" w:lineRule="auto"/>
        <w:jc w:val="both"/>
        <w:rPr>
          <w:i/>
          <w:iCs/>
        </w:rPr>
      </w:pPr>
      <w:r>
        <w:rPr>
          <w:i/>
          <w:iCs/>
        </w:rPr>
        <w:t xml:space="preserve">3.1 </w:t>
      </w:r>
      <w:r w:rsidR="00676A85" w:rsidRPr="00DE7DD5">
        <w:rPr>
          <w:i/>
          <w:iCs/>
        </w:rPr>
        <w:t>The example of the analogue approach</w:t>
      </w:r>
    </w:p>
    <w:p w14:paraId="25171D56" w14:textId="7C44BAD4" w:rsidR="00676A85" w:rsidRDefault="006E28EC" w:rsidP="00CF18C5">
      <w:pPr>
        <w:spacing w:after="120" w:line="480" w:lineRule="auto"/>
        <w:jc w:val="both"/>
      </w:pPr>
      <w:r>
        <w:t>To illustrate the analogue approach</w:t>
      </w:r>
      <w:r w:rsidR="00525E88">
        <w:t xml:space="preserve"> for read-across</w:t>
      </w:r>
      <w:r>
        <w:t xml:space="preserve">, </w:t>
      </w:r>
      <w:r w:rsidR="00525E88">
        <w:t xml:space="preserve">tetraconazole was </w:t>
      </w:r>
      <w:r w:rsidR="00F418AD">
        <w:t xml:space="preserve">selected as the </w:t>
      </w:r>
      <w:r w:rsidR="00525E88">
        <w:t>target molecule and hexaconazole as the data</w:t>
      </w:r>
      <w:r w:rsidR="00F10D39">
        <w:t>-</w:t>
      </w:r>
      <w:r w:rsidR="00525E88">
        <w:t>rich source molecule. The endpoint to be read across was repeated</w:t>
      </w:r>
      <w:r w:rsidR="00A27B08">
        <w:t>-</w:t>
      </w:r>
      <w:r w:rsidR="00525E88">
        <w:t>dose toxicity</w:t>
      </w:r>
      <w:r w:rsidR="00C93F68">
        <w:t xml:space="preserve"> and data and information were sourced, in the first instance</w:t>
      </w:r>
      <w:r w:rsidR="007936EE">
        <w:t>,</w:t>
      </w:r>
      <w:r w:rsidR="00C93F68">
        <w:t xml:space="preserve"> from </w:t>
      </w:r>
      <w:r w:rsidR="00676A85">
        <w:t>Pestana et al</w:t>
      </w:r>
      <w:r w:rsidR="00D55B7F">
        <w:t>.</w:t>
      </w:r>
      <w:r w:rsidR="00676A85">
        <w:t xml:space="preserve"> </w:t>
      </w:r>
      <w:r w:rsidR="00255928">
        <w:rPr>
          <w:bCs/>
        </w:rPr>
        <w:t>[14]</w:t>
      </w:r>
      <w:r w:rsidR="00676A85">
        <w:t xml:space="preserve">. The authors developed a read-across approach supported by NAM data, to illustrate how uncertainty could be reduced by </w:t>
      </w:r>
      <w:r w:rsidR="00642D73">
        <w:t>their</w:t>
      </w:r>
      <w:r w:rsidR="00F10D39">
        <w:t xml:space="preserve"> </w:t>
      </w:r>
      <w:r w:rsidR="00676A85">
        <w:t xml:space="preserve">inclusion. The purpose of the current study is not to determine uncertainty as such, although it may be derived from the approach, </w:t>
      </w:r>
      <w:r w:rsidR="00FE661B">
        <w:t xml:space="preserve">but </w:t>
      </w:r>
      <w:r w:rsidR="00676A85">
        <w:t xml:space="preserve">rather to quantify the possible domain of the analogues. </w:t>
      </w:r>
    </w:p>
    <w:p w14:paraId="02CD2F02" w14:textId="6CCE9877" w:rsidR="00676A85" w:rsidRDefault="00C95767" w:rsidP="00CF18C5">
      <w:pPr>
        <w:spacing w:after="120" w:line="480" w:lineRule="auto"/>
        <w:jc w:val="both"/>
      </w:pPr>
      <w:r>
        <w:t xml:space="preserve">Using the data summarised </w:t>
      </w:r>
      <w:r w:rsidR="00676A85">
        <w:t>in Table 3, Pestana et al</w:t>
      </w:r>
      <w:r w:rsidR="00D55B7F">
        <w:t>.</w:t>
      </w:r>
      <w:r w:rsidR="00676A85">
        <w:t xml:space="preserve"> </w:t>
      </w:r>
      <w:r w:rsidR="00255928">
        <w:rPr>
          <w:bCs/>
        </w:rPr>
        <w:t>[14]</w:t>
      </w:r>
      <w:r w:rsidR="00676A85">
        <w:t xml:space="preserve"> illustrated that within a group of triazoles (considered </w:t>
      </w:r>
      <w:r w:rsidR="00FC7960">
        <w:t>in Section 3.2</w:t>
      </w:r>
      <w:r w:rsidR="00676A85">
        <w:t xml:space="preserve">), hexaconazole was </w:t>
      </w:r>
      <w:r w:rsidR="005D55E6">
        <w:t>an</w:t>
      </w:r>
      <w:r w:rsidR="00676A85">
        <w:t xml:space="preserve"> appropriate read-across candidate due to structural </w:t>
      </w:r>
      <w:r w:rsidR="005D55E6">
        <w:t xml:space="preserve">and toxicological </w:t>
      </w:r>
      <w:r w:rsidR="00676A85">
        <w:t xml:space="preserve">similarity. The analysis detailed in Table </w:t>
      </w:r>
      <w:r w:rsidR="00C34674">
        <w:t>5</w:t>
      </w:r>
      <w:r w:rsidR="00676A85">
        <w:t xml:space="preserve"> demonstrates that the two analogues are very similar in terms of their chemical and structural features and properties. In order to evaluate the chemical and other properties</w:t>
      </w:r>
      <w:r w:rsidR="00F10D39">
        <w:t>,</w:t>
      </w:r>
      <w:r w:rsidR="00676A85">
        <w:t xml:space="preserve"> some of the boundary criteria defined in Table 2 were assessed. </w:t>
      </w:r>
    </w:p>
    <w:p w14:paraId="352FDD67" w14:textId="77777777" w:rsidR="00CE30B1" w:rsidRDefault="00CE30B1" w:rsidP="00CF18C5">
      <w:pPr>
        <w:spacing w:after="120" w:line="480" w:lineRule="auto"/>
      </w:pPr>
    </w:p>
    <w:p w14:paraId="3086C20B" w14:textId="21397AFC" w:rsidR="00CE30B1" w:rsidRDefault="00CE30B1" w:rsidP="00CF18C5">
      <w:pPr>
        <w:spacing w:after="120" w:line="480" w:lineRule="auto"/>
        <w:sectPr w:rsidR="00CE30B1" w:rsidSect="00B640AC">
          <w:type w:val="nextColumn"/>
          <w:pgSz w:w="11906" w:h="16838"/>
          <w:pgMar w:top="1440" w:right="1440" w:bottom="1440" w:left="1440" w:header="709" w:footer="709" w:gutter="0"/>
          <w:lnNumType w:countBy="1" w:restart="continuous"/>
          <w:cols w:space="708"/>
          <w:docGrid w:linePitch="360"/>
        </w:sectPr>
      </w:pPr>
    </w:p>
    <w:p w14:paraId="4644DC7D" w14:textId="635E7E8C" w:rsidR="006D5EE7" w:rsidRDefault="00EC5C67" w:rsidP="00CF18C5">
      <w:pPr>
        <w:spacing w:after="120" w:line="480" w:lineRule="auto"/>
      </w:pPr>
      <w:r>
        <w:t xml:space="preserve">Table </w:t>
      </w:r>
      <w:r w:rsidR="00DA18A9">
        <w:t>5</w:t>
      </w:r>
      <w:r>
        <w:t xml:space="preserve">. Illustration of how the </w:t>
      </w:r>
      <w:r w:rsidR="00E3200F">
        <w:t xml:space="preserve">characteristics </w:t>
      </w:r>
      <w:r w:rsidR="00C37454">
        <w:t xml:space="preserve">of two close analogues (tetraconazole and hexaconazole) can be compared according to the properties </w:t>
      </w:r>
      <w:r w:rsidR="00962E97">
        <w:t>with</w:t>
      </w:r>
      <w:r w:rsidR="00C37454">
        <w:t>in</w:t>
      </w:r>
      <w:r w:rsidR="00962E97">
        <w:t xml:space="preserve"> each </w:t>
      </w:r>
      <w:r w:rsidR="00C37454" w:rsidRPr="00962E97">
        <w:rPr>
          <w:color w:val="000000" w:themeColor="text1"/>
        </w:rPr>
        <w:t>domain</w:t>
      </w:r>
    </w:p>
    <w:tbl>
      <w:tblPr>
        <w:tblStyle w:val="TableGrid"/>
        <w:tblW w:w="0" w:type="auto"/>
        <w:tblLayout w:type="fixed"/>
        <w:tblLook w:val="04A0" w:firstRow="1" w:lastRow="0" w:firstColumn="1" w:lastColumn="0" w:noHBand="0" w:noVBand="1"/>
      </w:tblPr>
      <w:tblGrid>
        <w:gridCol w:w="1838"/>
        <w:gridCol w:w="2693"/>
        <w:gridCol w:w="1985"/>
        <w:gridCol w:w="1559"/>
        <w:gridCol w:w="3119"/>
        <w:gridCol w:w="2551"/>
      </w:tblGrid>
      <w:tr w:rsidR="006D5EE7" w14:paraId="0EBD539F" w14:textId="77777777" w:rsidTr="006E5ECE">
        <w:tc>
          <w:tcPr>
            <w:tcW w:w="1838" w:type="dxa"/>
          </w:tcPr>
          <w:p w14:paraId="71DAAFEE" w14:textId="5B1F9A7C" w:rsidR="006D5EE7" w:rsidRDefault="00F66AE0" w:rsidP="00CF18C5">
            <w:pPr>
              <w:spacing w:after="120" w:line="480" w:lineRule="auto"/>
            </w:pPr>
            <w:bookmarkStart w:id="5" w:name="_Hlk69036752"/>
            <w:r>
              <w:t xml:space="preserve">Applicability Domain Criteria </w:t>
            </w:r>
          </w:p>
        </w:tc>
        <w:tc>
          <w:tcPr>
            <w:tcW w:w="2693" w:type="dxa"/>
          </w:tcPr>
          <w:p w14:paraId="6D9C3CD6" w14:textId="65D4C8EB" w:rsidR="006D5EE7" w:rsidRDefault="00F66AE0" w:rsidP="00CF18C5">
            <w:pPr>
              <w:spacing w:after="120" w:line="480" w:lineRule="auto"/>
            </w:pPr>
            <w:r>
              <w:t>Description</w:t>
            </w:r>
          </w:p>
        </w:tc>
        <w:tc>
          <w:tcPr>
            <w:tcW w:w="1985" w:type="dxa"/>
          </w:tcPr>
          <w:p w14:paraId="19BE41E1" w14:textId="2D947E63" w:rsidR="006D5EE7" w:rsidRDefault="00EB0336" w:rsidP="00CF18C5">
            <w:pPr>
              <w:spacing w:after="120" w:line="480" w:lineRule="auto"/>
            </w:pPr>
            <w:r>
              <w:t>Target: T</w:t>
            </w:r>
            <w:r w:rsidR="00D23B5D" w:rsidRPr="00D23B5D">
              <w:t>etraconazole</w:t>
            </w:r>
          </w:p>
          <w:p w14:paraId="1DD6D5DB" w14:textId="2535BDC7" w:rsidR="00EB0336" w:rsidRPr="00EB0336" w:rsidRDefault="00EB0336" w:rsidP="00CF18C5">
            <w:pPr>
              <w:spacing w:after="120" w:line="480" w:lineRule="auto"/>
              <w:jc w:val="center"/>
            </w:pPr>
          </w:p>
        </w:tc>
        <w:tc>
          <w:tcPr>
            <w:tcW w:w="1559" w:type="dxa"/>
          </w:tcPr>
          <w:p w14:paraId="55D6ECA1" w14:textId="52B48D1F" w:rsidR="006D5EE7" w:rsidRDefault="00EB0336" w:rsidP="00CF18C5">
            <w:pPr>
              <w:spacing w:after="120" w:line="480" w:lineRule="auto"/>
            </w:pPr>
            <w:r>
              <w:t>Source: H</w:t>
            </w:r>
            <w:r w:rsidR="00AF6E7C" w:rsidRPr="00AF6E7C">
              <w:t>exaconazole</w:t>
            </w:r>
          </w:p>
        </w:tc>
        <w:tc>
          <w:tcPr>
            <w:tcW w:w="3119" w:type="dxa"/>
          </w:tcPr>
          <w:p w14:paraId="3140AD90" w14:textId="19F0CC90" w:rsidR="006D5EE7" w:rsidRDefault="00F46725" w:rsidP="00CF18C5">
            <w:pPr>
              <w:spacing w:after="120" w:line="480" w:lineRule="auto"/>
            </w:pPr>
            <w:r>
              <w:t>Comment</w:t>
            </w:r>
          </w:p>
        </w:tc>
        <w:tc>
          <w:tcPr>
            <w:tcW w:w="2551" w:type="dxa"/>
          </w:tcPr>
          <w:p w14:paraId="194F3552" w14:textId="17D6791B" w:rsidR="006D5EE7" w:rsidRDefault="00F46725" w:rsidP="00CF18C5">
            <w:pPr>
              <w:spacing w:after="120" w:line="480" w:lineRule="auto"/>
            </w:pPr>
            <w:r>
              <w:t>Conclusion</w:t>
            </w:r>
          </w:p>
        </w:tc>
      </w:tr>
      <w:tr w:rsidR="007118B1" w14:paraId="0C23A7F1" w14:textId="77777777" w:rsidTr="00AF2F0D">
        <w:tc>
          <w:tcPr>
            <w:tcW w:w="13745" w:type="dxa"/>
            <w:gridSpan w:val="6"/>
          </w:tcPr>
          <w:p w14:paraId="6E5348FB" w14:textId="77777777" w:rsidR="007118B1" w:rsidRDefault="007118B1" w:rsidP="006E5ECE">
            <w:pPr>
              <w:spacing w:after="120" w:line="480" w:lineRule="auto"/>
            </w:pPr>
          </w:p>
        </w:tc>
      </w:tr>
      <w:tr w:rsidR="006D5EE7" w14:paraId="306ECF51" w14:textId="77777777" w:rsidTr="00AF2F0D">
        <w:tc>
          <w:tcPr>
            <w:tcW w:w="13745" w:type="dxa"/>
            <w:gridSpan w:val="6"/>
          </w:tcPr>
          <w:p w14:paraId="4EEE8B9C" w14:textId="77777777" w:rsidR="006D5EE7" w:rsidRPr="001C734F" w:rsidRDefault="006D5EE7" w:rsidP="006E5ECE">
            <w:pPr>
              <w:spacing w:after="120" w:line="480" w:lineRule="auto"/>
              <w:jc w:val="center"/>
              <w:rPr>
                <w:b/>
                <w:bCs/>
              </w:rPr>
            </w:pPr>
            <w:r w:rsidRPr="001C734F">
              <w:rPr>
                <w:b/>
                <w:bCs/>
              </w:rPr>
              <w:t>Chemistry</w:t>
            </w:r>
          </w:p>
        </w:tc>
      </w:tr>
      <w:tr w:rsidR="007118B1" w14:paraId="10E872B9" w14:textId="77777777" w:rsidTr="00AF2F0D">
        <w:tc>
          <w:tcPr>
            <w:tcW w:w="13745" w:type="dxa"/>
            <w:gridSpan w:val="6"/>
          </w:tcPr>
          <w:p w14:paraId="79496D06" w14:textId="77777777" w:rsidR="007118B1" w:rsidRDefault="007118B1" w:rsidP="006E5ECE">
            <w:pPr>
              <w:spacing w:after="120" w:line="480" w:lineRule="auto"/>
            </w:pPr>
          </w:p>
        </w:tc>
      </w:tr>
      <w:tr w:rsidR="00672C2F" w14:paraId="51E480D5" w14:textId="77777777" w:rsidTr="006E5ECE">
        <w:tc>
          <w:tcPr>
            <w:tcW w:w="1838" w:type="dxa"/>
            <w:vMerge w:val="restart"/>
          </w:tcPr>
          <w:p w14:paraId="4085DA48" w14:textId="31E92FBA" w:rsidR="00672C2F" w:rsidRDefault="00672C2F" w:rsidP="006E5ECE">
            <w:pPr>
              <w:spacing w:after="120" w:line="480" w:lineRule="auto"/>
            </w:pPr>
            <w:r>
              <w:t xml:space="preserve">Chemical </w:t>
            </w:r>
            <w:r w:rsidR="001261ED">
              <w:t>sub</w:t>
            </w:r>
            <w:r>
              <w:t>structure</w:t>
            </w:r>
          </w:p>
        </w:tc>
        <w:tc>
          <w:tcPr>
            <w:tcW w:w="2693" w:type="dxa"/>
          </w:tcPr>
          <w:p w14:paraId="6A13C309" w14:textId="418357F1" w:rsidR="00672C2F" w:rsidRDefault="00672C2F" w:rsidP="006E5ECE">
            <w:pPr>
              <w:spacing w:after="120" w:line="480" w:lineRule="auto"/>
            </w:pPr>
            <w:r>
              <w:t xml:space="preserve">Key structural fragment(s) for grouping </w:t>
            </w:r>
          </w:p>
        </w:tc>
        <w:tc>
          <w:tcPr>
            <w:tcW w:w="1985" w:type="dxa"/>
          </w:tcPr>
          <w:p w14:paraId="6D0F2EC0" w14:textId="392588B5" w:rsidR="00672C2F" w:rsidRPr="00F46725" w:rsidRDefault="00672C2F" w:rsidP="006E5ECE">
            <w:pPr>
              <w:spacing w:after="120" w:line="480" w:lineRule="auto"/>
            </w:pPr>
            <w:r w:rsidRPr="009D200B">
              <w:t xml:space="preserve">Triazole </w:t>
            </w:r>
          </w:p>
        </w:tc>
        <w:tc>
          <w:tcPr>
            <w:tcW w:w="1559" w:type="dxa"/>
          </w:tcPr>
          <w:p w14:paraId="7A815E47" w14:textId="6FFA687C" w:rsidR="00672C2F" w:rsidRDefault="00672C2F" w:rsidP="006E5ECE">
            <w:pPr>
              <w:spacing w:after="120" w:line="480" w:lineRule="auto"/>
            </w:pPr>
            <w:r w:rsidRPr="009D200B">
              <w:t xml:space="preserve">Triazole </w:t>
            </w:r>
          </w:p>
        </w:tc>
        <w:tc>
          <w:tcPr>
            <w:tcW w:w="3119" w:type="dxa"/>
          </w:tcPr>
          <w:p w14:paraId="500AC49A" w14:textId="54F279CF" w:rsidR="00672C2F" w:rsidRDefault="00672C2F" w:rsidP="006E5ECE">
            <w:pPr>
              <w:spacing w:after="120" w:line="480" w:lineRule="auto"/>
            </w:pPr>
            <w:r>
              <w:t>No significant differences</w:t>
            </w:r>
          </w:p>
        </w:tc>
        <w:tc>
          <w:tcPr>
            <w:tcW w:w="2551" w:type="dxa"/>
          </w:tcPr>
          <w:p w14:paraId="482516B2" w14:textId="5CC37E5A" w:rsidR="00672C2F" w:rsidRDefault="00672C2F" w:rsidP="006E5ECE">
            <w:pPr>
              <w:spacing w:after="120" w:line="480" w:lineRule="auto"/>
            </w:pPr>
            <w:r>
              <w:t>In domain</w:t>
            </w:r>
          </w:p>
        </w:tc>
      </w:tr>
      <w:tr w:rsidR="00DB1463" w14:paraId="59E90078" w14:textId="77777777" w:rsidTr="006E5ECE">
        <w:tc>
          <w:tcPr>
            <w:tcW w:w="1838" w:type="dxa"/>
            <w:vMerge/>
          </w:tcPr>
          <w:p w14:paraId="73DB2C9F" w14:textId="77777777" w:rsidR="00DB1463" w:rsidRDefault="00DB1463" w:rsidP="00CF18C5">
            <w:pPr>
              <w:spacing w:after="120" w:line="480" w:lineRule="auto"/>
            </w:pPr>
          </w:p>
        </w:tc>
        <w:tc>
          <w:tcPr>
            <w:tcW w:w="2693" w:type="dxa"/>
          </w:tcPr>
          <w:p w14:paraId="3A4BD5BC" w14:textId="54551BD2" w:rsidR="00DB1463" w:rsidRDefault="00DB1463" w:rsidP="00CF18C5">
            <w:pPr>
              <w:spacing w:after="120" w:line="480" w:lineRule="auto"/>
            </w:pPr>
            <w:r>
              <w:t>Additional fragment(s) defining structure</w:t>
            </w:r>
          </w:p>
        </w:tc>
        <w:tc>
          <w:tcPr>
            <w:tcW w:w="1985" w:type="dxa"/>
          </w:tcPr>
          <w:p w14:paraId="0A535E73" w14:textId="5C76FD33" w:rsidR="00DB1463" w:rsidRPr="00F46725" w:rsidRDefault="00DB1463" w:rsidP="00CF18C5">
            <w:pPr>
              <w:spacing w:after="120" w:line="480" w:lineRule="auto"/>
            </w:pPr>
            <w:r>
              <w:t>A</w:t>
            </w:r>
            <w:r w:rsidRPr="00F46725">
              <w:t>lkane, ether moiety, aryl, aryl halide, perfluorocarbon</w:t>
            </w:r>
          </w:p>
        </w:tc>
        <w:tc>
          <w:tcPr>
            <w:tcW w:w="1559" w:type="dxa"/>
          </w:tcPr>
          <w:p w14:paraId="3B5B0A64" w14:textId="052E7350" w:rsidR="00DB1463" w:rsidRDefault="00DB1463" w:rsidP="00CF18C5">
            <w:pPr>
              <w:spacing w:after="120" w:line="480" w:lineRule="auto"/>
            </w:pPr>
            <w:r>
              <w:t>A</w:t>
            </w:r>
            <w:r w:rsidRPr="009D200B">
              <w:t>lcohol, alkane, aryl, aryl halide, perfluorocarbon</w:t>
            </w:r>
          </w:p>
        </w:tc>
        <w:tc>
          <w:tcPr>
            <w:tcW w:w="3119" w:type="dxa"/>
          </w:tcPr>
          <w:p w14:paraId="2EAA630A" w14:textId="3B29A57D" w:rsidR="00DB1463" w:rsidRDefault="00A2093D" w:rsidP="00CF18C5">
            <w:pPr>
              <w:spacing w:after="120" w:line="480" w:lineRule="auto"/>
            </w:pPr>
            <w:r>
              <w:t>Minor diff</w:t>
            </w:r>
            <w:r w:rsidR="00855171">
              <w:t xml:space="preserve">erence from ether to alcohol, which </w:t>
            </w:r>
            <w:r w:rsidR="00B65C1D">
              <w:t xml:space="preserve">is </w:t>
            </w:r>
            <w:r w:rsidR="00855171">
              <w:t xml:space="preserve">unlikely to affect toxicity significantly </w:t>
            </w:r>
          </w:p>
        </w:tc>
        <w:tc>
          <w:tcPr>
            <w:tcW w:w="2551" w:type="dxa"/>
          </w:tcPr>
          <w:p w14:paraId="59A63FC3" w14:textId="11BE4D88" w:rsidR="00DB1463" w:rsidRDefault="00DB1463" w:rsidP="00CF18C5">
            <w:pPr>
              <w:spacing w:after="120" w:line="480" w:lineRule="auto"/>
            </w:pPr>
            <w:r w:rsidRPr="0004646D">
              <w:t>In domain</w:t>
            </w:r>
          </w:p>
        </w:tc>
      </w:tr>
      <w:tr w:rsidR="006D5EE7" w14:paraId="2212C1C2" w14:textId="77777777" w:rsidTr="006E5ECE">
        <w:tc>
          <w:tcPr>
            <w:tcW w:w="1838" w:type="dxa"/>
          </w:tcPr>
          <w:p w14:paraId="462F40DF" w14:textId="47BE8413" w:rsidR="006D5EE7" w:rsidRDefault="001261ED" w:rsidP="006E5ECE">
            <w:pPr>
              <w:spacing w:after="120" w:line="480" w:lineRule="auto"/>
            </w:pPr>
            <w:r>
              <w:t>Molecular s</w:t>
            </w:r>
            <w:r w:rsidR="006D5EE7">
              <w:t xml:space="preserve">imilarity </w:t>
            </w:r>
          </w:p>
        </w:tc>
        <w:tc>
          <w:tcPr>
            <w:tcW w:w="2693" w:type="dxa"/>
          </w:tcPr>
          <w:p w14:paraId="1DD88E85" w14:textId="36CC9B50" w:rsidR="006D5EE7" w:rsidRDefault="000933E7" w:rsidP="006E5ECE">
            <w:pPr>
              <w:spacing w:after="120" w:line="480" w:lineRule="auto"/>
            </w:pPr>
            <w:proofErr w:type="spellStart"/>
            <w:r w:rsidRPr="000933E7">
              <w:t>Tanimoto</w:t>
            </w:r>
            <w:proofErr w:type="spellEnd"/>
            <w:r w:rsidRPr="000933E7">
              <w:t xml:space="preserve"> coefficient</w:t>
            </w:r>
            <w:r>
              <w:t xml:space="preserve"> </w:t>
            </w:r>
            <w:r w:rsidRPr="000933E7">
              <w:t>calculated from PubChem fingerprints</w:t>
            </w:r>
          </w:p>
        </w:tc>
        <w:tc>
          <w:tcPr>
            <w:tcW w:w="1985" w:type="dxa"/>
          </w:tcPr>
          <w:p w14:paraId="17E04030" w14:textId="499B7588" w:rsidR="006D5EE7" w:rsidRDefault="000933E7" w:rsidP="006E5ECE">
            <w:pPr>
              <w:spacing w:after="120" w:line="480" w:lineRule="auto"/>
            </w:pPr>
            <w:proofErr w:type="spellStart"/>
            <w:r>
              <w:t>Tanimoto</w:t>
            </w:r>
            <w:proofErr w:type="spellEnd"/>
            <w:r>
              <w:t xml:space="preserve"> coefficient </w:t>
            </w:r>
            <w:r w:rsidR="0052771B">
              <w:t>between tetraconazole and hexaconazole = 0.83</w:t>
            </w:r>
          </w:p>
        </w:tc>
        <w:tc>
          <w:tcPr>
            <w:tcW w:w="1559" w:type="dxa"/>
          </w:tcPr>
          <w:p w14:paraId="110B29F0" w14:textId="6DFCCD76" w:rsidR="006D5EE7" w:rsidRDefault="000933E7" w:rsidP="006E5ECE">
            <w:pPr>
              <w:spacing w:after="120" w:line="480" w:lineRule="auto"/>
            </w:pPr>
            <w:r>
              <w:t>N/A</w:t>
            </w:r>
          </w:p>
        </w:tc>
        <w:tc>
          <w:tcPr>
            <w:tcW w:w="3119" w:type="dxa"/>
          </w:tcPr>
          <w:p w14:paraId="74548E03" w14:textId="34FDCDA9" w:rsidR="006D5EE7" w:rsidRDefault="0052771B" w:rsidP="006E5ECE">
            <w:pPr>
              <w:spacing w:after="120" w:line="480" w:lineRule="auto"/>
            </w:pPr>
            <w:r>
              <w:t xml:space="preserve">High </w:t>
            </w:r>
            <w:r w:rsidR="006D5EE7">
              <w:t>similarity</w:t>
            </w:r>
          </w:p>
        </w:tc>
        <w:tc>
          <w:tcPr>
            <w:tcW w:w="2551" w:type="dxa"/>
          </w:tcPr>
          <w:p w14:paraId="6AD90146" w14:textId="36ACA1E8" w:rsidR="006D5EE7" w:rsidRDefault="0052771B" w:rsidP="006E5ECE">
            <w:pPr>
              <w:spacing w:after="120" w:line="480" w:lineRule="auto"/>
            </w:pPr>
            <w:r>
              <w:t xml:space="preserve">No reason </w:t>
            </w:r>
            <w:r w:rsidR="00056CBF">
              <w:t xml:space="preserve">to </w:t>
            </w:r>
            <w:r>
              <w:t>consider these compounds are not similar</w:t>
            </w:r>
          </w:p>
        </w:tc>
      </w:tr>
      <w:tr w:rsidR="00DF5F15" w14:paraId="383639E4" w14:textId="77777777" w:rsidTr="006E5ECE">
        <w:tc>
          <w:tcPr>
            <w:tcW w:w="1838" w:type="dxa"/>
            <w:vMerge w:val="restart"/>
          </w:tcPr>
          <w:p w14:paraId="3EC4A7D6" w14:textId="77777777" w:rsidR="00DF5F15" w:rsidRDefault="00DF5F15" w:rsidP="006E5ECE">
            <w:pPr>
              <w:spacing w:after="120" w:line="480" w:lineRule="auto"/>
            </w:pPr>
            <w:proofErr w:type="spellStart"/>
            <w:r>
              <w:t>Physico</w:t>
            </w:r>
            <w:proofErr w:type="spellEnd"/>
            <w:r>
              <w:t>-chemical properties</w:t>
            </w:r>
          </w:p>
        </w:tc>
        <w:tc>
          <w:tcPr>
            <w:tcW w:w="2693" w:type="dxa"/>
          </w:tcPr>
          <w:p w14:paraId="1967A50C" w14:textId="422A8DD2" w:rsidR="00DF5F15" w:rsidRDefault="00DF5F15" w:rsidP="006E5ECE">
            <w:pPr>
              <w:spacing w:after="120" w:line="480" w:lineRule="auto"/>
            </w:pPr>
            <w:r>
              <w:t>MW (Da)</w:t>
            </w:r>
          </w:p>
        </w:tc>
        <w:tc>
          <w:tcPr>
            <w:tcW w:w="1985" w:type="dxa"/>
          </w:tcPr>
          <w:p w14:paraId="38336AD7" w14:textId="77777777" w:rsidR="00DF5F15" w:rsidRDefault="00DF5F15" w:rsidP="006E5ECE">
            <w:pPr>
              <w:spacing w:after="120" w:line="480" w:lineRule="auto"/>
            </w:pPr>
            <w:r>
              <w:t>372</w:t>
            </w:r>
          </w:p>
        </w:tc>
        <w:tc>
          <w:tcPr>
            <w:tcW w:w="1559" w:type="dxa"/>
          </w:tcPr>
          <w:p w14:paraId="27969DC3" w14:textId="77777777" w:rsidR="00DF5F15" w:rsidRDefault="00DF5F15" w:rsidP="006E5ECE">
            <w:pPr>
              <w:spacing w:after="120" w:line="480" w:lineRule="auto"/>
              <w:ind w:left="-29"/>
            </w:pPr>
            <w:r>
              <w:t>314</w:t>
            </w:r>
          </w:p>
        </w:tc>
        <w:tc>
          <w:tcPr>
            <w:tcW w:w="3119" w:type="dxa"/>
          </w:tcPr>
          <w:p w14:paraId="582F0BA5" w14:textId="77777777" w:rsidR="00DF5F15" w:rsidRDefault="00DF5F15" w:rsidP="006E5ECE">
            <w:pPr>
              <w:spacing w:after="120" w:line="480" w:lineRule="auto"/>
              <w:ind w:left="-29"/>
            </w:pPr>
            <w:r>
              <w:t>Relatively minor difference in molecular weight (58 Da)</w:t>
            </w:r>
          </w:p>
        </w:tc>
        <w:tc>
          <w:tcPr>
            <w:tcW w:w="2551" w:type="dxa"/>
          </w:tcPr>
          <w:p w14:paraId="1FDE8F90" w14:textId="77777777" w:rsidR="00DF5F15" w:rsidRDefault="00DF5F15" w:rsidP="006E5ECE">
            <w:pPr>
              <w:spacing w:after="120" w:line="480" w:lineRule="auto"/>
            </w:pPr>
            <w:r>
              <w:t>In domain</w:t>
            </w:r>
          </w:p>
        </w:tc>
      </w:tr>
      <w:tr w:rsidR="00DF5F15" w14:paraId="6CCB3AE6" w14:textId="77777777" w:rsidTr="006E5ECE">
        <w:tc>
          <w:tcPr>
            <w:tcW w:w="1838" w:type="dxa"/>
            <w:vMerge/>
          </w:tcPr>
          <w:p w14:paraId="1357AA9C" w14:textId="77777777" w:rsidR="00DF5F15" w:rsidRDefault="00DF5F15" w:rsidP="00CF18C5">
            <w:pPr>
              <w:spacing w:after="120" w:line="480" w:lineRule="auto"/>
            </w:pPr>
          </w:p>
        </w:tc>
        <w:tc>
          <w:tcPr>
            <w:tcW w:w="2693" w:type="dxa"/>
          </w:tcPr>
          <w:p w14:paraId="2538E0CA" w14:textId="77777777" w:rsidR="00DF5F15" w:rsidRDefault="00DF5F15" w:rsidP="00CF18C5">
            <w:pPr>
              <w:spacing w:after="120" w:line="480" w:lineRule="auto"/>
            </w:pPr>
            <w:r>
              <w:t>Log P</w:t>
            </w:r>
          </w:p>
        </w:tc>
        <w:tc>
          <w:tcPr>
            <w:tcW w:w="1985" w:type="dxa"/>
          </w:tcPr>
          <w:p w14:paraId="12146F1E" w14:textId="77777777" w:rsidR="00DF5F15" w:rsidRDefault="00DF5F15" w:rsidP="00CF18C5">
            <w:pPr>
              <w:spacing w:after="120" w:line="480" w:lineRule="auto"/>
            </w:pPr>
            <w:r>
              <w:t>3.53</w:t>
            </w:r>
          </w:p>
        </w:tc>
        <w:tc>
          <w:tcPr>
            <w:tcW w:w="1559" w:type="dxa"/>
          </w:tcPr>
          <w:p w14:paraId="34F77B2F" w14:textId="77777777" w:rsidR="00DF5F15" w:rsidRDefault="00DF5F15" w:rsidP="00CF18C5">
            <w:pPr>
              <w:spacing w:after="120" w:line="480" w:lineRule="auto"/>
              <w:ind w:left="-29"/>
            </w:pPr>
            <w:r>
              <w:t>3.83</w:t>
            </w:r>
          </w:p>
        </w:tc>
        <w:tc>
          <w:tcPr>
            <w:tcW w:w="3119" w:type="dxa"/>
          </w:tcPr>
          <w:p w14:paraId="153D9723" w14:textId="77777777" w:rsidR="00DF5F15" w:rsidRDefault="00DF5F15" w:rsidP="00CF18C5">
            <w:pPr>
              <w:spacing w:after="120" w:line="480" w:lineRule="auto"/>
              <w:ind w:left="-29"/>
            </w:pPr>
            <w:r>
              <w:t>Very minor difference in log P (0.3 log units)</w:t>
            </w:r>
          </w:p>
        </w:tc>
        <w:tc>
          <w:tcPr>
            <w:tcW w:w="2551" w:type="dxa"/>
          </w:tcPr>
          <w:p w14:paraId="76DBE41E" w14:textId="77777777" w:rsidR="00DF5F15" w:rsidRDefault="00DF5F15" w:rsidP="00CF18C5">
            <w:pPr>
              <w:spacing w:after="120" w:line="480" w:lineRule="auto"/>
            </w:pPr>
            <w:r w:rsidRPr="00DF1693">
              <w:t>In domain</w:t>
            </w:r>
          </w:p>
        </w:tc>
      </w:tr>
      <w:tr w:rsidR="00DF5F15" w14:paraId="4FE21948" w14:textId="77777777" w:rsidTr="006E5ECE">
        <w:tc>
          <w:tcPr>
            <w:tcW w:w="1838" w:type="dxa"/>
            <w:vMerge/>
          </w:tcPr>
          <w:p w14:paraId="4B9F67E4" w14:textId="77777777" w:rsidR="00DF5F15" w:rsidRDefault="00DF5F15" w:rsidP="00CF18C5">
            <w:pPr>
              <w:spacing w:after="120" w:line="480" w:lineRule="auto"/>
            </w:pPr>
          </w:p>
        </w:tc>
        <w:tc>
          <w:tcPr>
            <w:tcW w:w="2693" w:type="dxa"/>
          </w:tcPr>
          <w:p w14:paraId="3D6163AE" w14:textId="1284238B" w:rsidR="00DF5F15" w:rsidRDefault="00DF5F15" w:rsidP="00CF18C5">
            <w:pPr>
              <w:spacing w:after="120" w:line="480" w:lineRule="auto"/>
            </w:pPr>
            <w:r>
              <w:t>Water Solubility (log solubility in moles</w:t>
            </w:r>
            <w:r w:rsidR="00C366B9">
              <w:t>/</w:t>
            </w:r>
            <w:r>
              <w:t>litre)</w:t>
            </w:r>
          </w:p>
        </w:tc>
        <w:tc>
          <w:tcPr>
            <w:tcW w:w="1985" w:type="dxa"/>
          </w:tcPr>
          <w:p w14:paraId="5C39D97C" w14:textId="77777777" w:rsidR="00DF5F15" w:rsidRDefault="00DF5F15" w:rsidP="00CF18C5">
            <w:pPr>
              <w:spacing w:after="120" w:line="480" w:lineRule="auto"/>
            </w:pPr>
            <w:r>
              <w:t>-3.03</w:t>
            </w:r>
          </w:p>
        </w:tc>
        <w:tc>
          <w:tcPr>
            <w:tcW w:w="1559" w:type="dxa"/>
          </w:tcPr>
          <w:p w14:paraId="32594AA1" w14:textId="77777777" w:rsidR="00DF5F15" w:rsidRDefault="00DF5F15" w:rsidP="00CF18C5">
            <w:pPr>
              <w:spacing w:after="120" w:line="480" w:lineRule="auto"/>
              <w:ind w:left="-29"/>
            </w:pPr>
            <w:r>
              <w:t>-4.26</w:t>
            </w:r>
          </w:p>
        </w:tc>
        <w:tc>
          <w:tcPr>
            <w:tcW w:w="3119" w:type="dxa"/>
          </w:tcPr>
          <w:p w14:paraId="2690E180" w14:textId="77777777" w:rsidR="00DF5F15" w:rsidRDefault="00DF5F15" w:rsidP="00CF18C5">
            <w:pPr>
              <w:spacing w:after="120" w:line="480" w:lineRule="auto"/>
              <w:ind w:left="-29"/>
            </w:pPr>
            <w:r>
              <w:t>Moderate difference in water solubility (1.13 log units), unlikely to affect toxicity significantly</w:t>
            </w:r>
          </w:p>
        </w:tc>
        <w:tc>
          <w:tcPr>
            <w:tcW w:w="2551" w:type="dxa"/>
          </w:tcPr>
          <w:p w14:paraId="1F27AB44" w14:textId="77777777" w:rsidR="00DF5F15" w:rsidRDefault="00DF5F15" w:rsidP="00CF18C5">
            <w:pPr>
              <w:spacing w:after="120" w:line="480" w:lineRule="auto"/>
            </w:pPr>
            <w:r w:rsidRPr="00DF1693">
              <w:t>In domain</w:t>
            </w:r>
          </w:p>
        </w:tc>
      </w:tr>
      <w:tr w:rsidR="00DF5F15" w14:paraId="1A85E67F" w14:textId="77777777" w:rsidTr="006E5ECE">
        <w:tc>
          <w:tcPr>
            <w:tcW w:w="1838" w:type="dxa"/>
            <w:vMerge/>
          </w:tcPr>
          <w:p w14:paraId="2FF0C73C" w14:textId="77777777" w:rsidR="00DF5F15" w:rsidRDefault="00DF5F15" w:rsidP="00CF18C5">
            <w:pPr>
              <w:spacing w:after="120" w:line="480" w:lineRule="auto"/>
            </w:pPr>
          </w:p>
        </w:tc>
        <w:tc>
          <w:tcPr>
            <w:tcW w:w="2693" w:type="dxa"/>
          </w:tcPr>
          <w:p w14:paraId="431807BD" w14:textId="77777777" w:rsidR="00DF5F15" w:rsidRDefault="00DF5F15" w:rsidP="00CF18C5">
            <w:pPr>
              <w:spacing w:after="120" w:line="480" w:lineRule="auto"/>
            </w:pPr>
            <w:r>
              <w:t xml:space="preserve">Vapour Pressure (log VP in </w:t>
            </w:r>
            <w:r w:rsidRPr="007334BA">
              <w:t>mmHg</w:t>
            </w:r>
            <w:r>
              <w:t>)</w:t>
            </w:r>
          </w:p>
        </w:tc>
        <w:tc>
          <w:tcPr>
            <w:tcW w:w="1985" w:type="dxa"/>
          </w:tcPr>
          <w:p w14:paraId="0BEDA751" w14:textId="77777777" w:rsidR="00DF5F15" w:rsidRDefault="00DF5F15" w:rsidP="00CF18C5">
            <w:pPr>
              <w:spacing w:after="120" w:line="480" w:lineRule="auto"/>
            </w:pPr>
            <w:r>
              <w:t>-5.76</w:t>
            </w:r>
          </w:p>
        </w:tc>
        <w:tc>
          <w:tcPr>
            <w:tcW w:w="1559" w:type="dxa"/>
          </w:tcPr>
          <w:p w14:paraId="3738971B" w14:textId="77777777" w:rsidR="00DF5F15" w:rsidRDefault="00DF5F15" w:rsidP="00CF18C5">
            <w:pPr>
              <w:spacing w:after="120" w:line="480" w:lineRule="auto"/>
              <w:ind w:left="-29"/>
            </w:pPr>
            <w:r>
              <w:t>-6.69</w:t>
            </w:r>
          </w:p>
        </w:tc>
        <w:tc>
          <w:tcPr>
            <w:tcW w:w="3119" w:type="dxa"/>
          </w:tcPr>
          <w:p w14:paraId="1109C7FE" w14:textId="77777777" w:rsidR="00DF5F15" w:rsidRDefault="00DF5F15" w:rsidP="00CF18C5">
            <w:pPr>
              <w:spacing w:after="120" w:line="480" w:lineRule="auto"/>
              <w:ind w:left="-29"/>
            </w:pPr>
            <w:r w:rsidRPr="00B945EB">
              <w:t xml:space="preserve">Moderate difference in </w:t>
            </w:r>
            <w:r>
              <w:t>vapour pressure</w:t>
            </w:r>
            <w:r w:rsidRPr="00B945EB">
              <w:t xml:space="preserve"> solubility (1.</w:t>
            </w:r>
            <w:r>
              <w:t>07</w:t>
            </w:r>
            <w:r w:rsidRPr="00B945EB">
              <w:t xml:space="preserve"> log units), unlikely to affect toxicity significantly</w:t>
            </w:r>
          </w:p>
        </w:tc>
        <w:tc>
          <w:tcPr>
            <w:tcW w:w="2551" w:type="dxa"/>
          </w:tcPr>
          <w:p w14:paraId="3F4A254E" w14:textId="77777777" w:rsidR="00DF5F15" w:rsidRDefault="00DF5F15" w:rsidP="00CF18C5">
            <w:pPr>
              <w:spacing w:after="120" w:line="480" w:lineRule="auto"/>
            </w:pPr>
            <w:r w:rsidRPr="00DF1693">
              <w:t>In domain</w:t>
            </w:r>
          </w:p>
        </w:tc>
      </w:tr>
      <w:tr w:rsidR="00DF5F15" w14:paraId="3E0A3C52" w14:textId="77777777" w:rsidTr="006E5ECE">
        <w:trPr>
          <w:trHeight w:val="155"/>
        </w:trPr>
        <w:tc>
          <w:tcPr>
            <w:tcW w:w="1838" w:type="dxa"/>
            <w:vMerge/>
          </w:tcPr>
          <w:p w14:paraId="1DE862B7" w14:textId="77777777" w:rsidR="00DF5F15" w:rsidRDefault="00DF5F15" w:rsidP="00CF18C5">
            <w:pPr>
              <w:spacing w:after="120" w:line="480" w:lineRule="auto"/>
            </w:pPr>
          </w:p>
        </w:tc>
        <w:tc>
          <w:tcPr>
            <w:tcW w:w="2693" w:type="dxa"/>
          </w:tcPr>
          <w:p w14:paraId="771FD261" w14:textId="77777777" w:rsidR="00DF5F15" w:rsidRDefault="00DF5F15" w:rsidP="00CF18C5">
            <w:pPr>
              <w:spacing w:after="120" w:line="480" w:lineRule="auto"/>
            </w:pPr>
            <w:r w:rsidRPr="00671AE1">
              <w:t>Boiling point (°C)</w:t>
            </w:r>
          </w:p>
        </w:tc>
        <w:tc>
          <w:tcPr>
            <w:tcW w:w="1985" w:type="dxa"/>
          </w:tcPr>
          <w:p w14:paraId="1AD6D385" w14:textId="77777777" w:rsidR="00DF5F15" w:rsidRDefault="00DF5F15" w:rsidP="00CF18C5">
            <w:pPr>
              <w:spacing w:after="120" w:line="480" w:lineRule="auto"/>
            </w:pPr>
            <w:r w:rsidRPr="00671AE1">
              <w:t>339</w:t>
            </w:r>
          </w:p>
        </w:tc>
        <w:tc>
          <w:tcPr>
            <w:tcW w:w="1559" w:type="dxa"/>
          </w:tcPr>
          <w:p w14:paraId="3E7D4798" w14:textId="77777777" w:rsidR="00DF5F15" w:rsidRDefault="00DF5F15" w:rsidP="00CF18C5">
            <w:pPr>
              <w:spacing w:after="120" w:line="480" w:lineRule="auto"/>
              <w:ind w:left="-29"/>
            </w:pPr>
            <w:r>
              <w:t>321</w:t>
            </w:r>
          </w:p>
        </w:tc>
        <w:tc>
          <w:tcPr>
            <w:tcW w:w="3119" w:type="dxa"/>
          </w:tcPr>
          <w:p w14:paraId="6730677C" w14:textId="306F7BFE" w:rsidR="00DF5F15" w:rsidRDefault="00DF5F15" w:rsidP="00CF18C5">
            <w:pPr>
              <w:spacing w:after="120" w:line="480" w:lineRule="auto"/>
              <w:ind w:left="-29"/>
            </w:pPr>
            <w:r>
              <w:t xml:space="preserve">Very minor difference in boiling point (18 </w:t>
            </w:r>
            <w:r w:rsidRPr="00671AE1">
              <w:t>°C</w:t>
            </w:r>
            <w:r>
              <w:t>)</w:t>
            </w:r>
          </w:p>
        </w:tc>
        <w:tc>
          <w:tcPr>
            <w:tcW w:w="2551" w:type="dxa"/>
          </w:tcPr>
          <w:p w14:paraId="46FEF503" w14:textId="77777777" w:rsidR="00DF5F15" w:rsidRDefault="00DF5F15" w:rsidP="00CF18C5">
            <w:pPr>
              <w:spacing w:after="120" w:line="480" w:lineRule="auto"/>
            </w:pPr>
            <w:r w:rsidRPr="00CA619F">
              <w:t>In domain</w:t>
            </w:r>
          </w:p>
        </w:tc>
      </w:tr>
      <w:tr w:rsidR="00DF5F15" w14:paraId="2FCB2E9F" w14:textId="77777777" w:rsidTr="00F82F4C">
        <w:tc>
          <w:tcPr>
            <w:tcW w:w="1838" w:type="dxa"/>
          </w:tcPr>
          <w:p w14:paraId="410D31EE" w14:textId="4647A674" w:rsidR="00DF5F15" w:rsidRDefault="00DF5F15" w:rsidP="006E5ECE">
            <w:pPr>
              <w:spacing w:after="120" w:line="480" w:lineRule="auto"/>
            </w:pPr>
            <w:r w:rsidRPr="00C62460">
              <w:t>Conclusion and Justification</w:t>
            </w:r>
            <w:r w:rsidR="00414678">
              <w:t xml:space="preserve"> (Chemistry Domain)</w:t>
            </w:r>
            <w:r w:rsidRPr="00C62460">
              <w:t xml:space="preserve">: </w:t>
            </w:r>
          </w:p>
        </w:tc>
        <w:tc>
          <w:tcPr>
            <w:tcW w:w="11907" w:type="dxa"/>
            <w:gridSpan w:val="5"/>
          </w:tcPr>
          <w:p w14:paraId="103DD96F" w14:textId="3F4F364C" w:rsidR="00DF5F15" w:rsidRDefault="00DF5F15" w:rsidP="006E5ECE">
            <w:pPr>
              <w:spacing w:after="120" w:line="480" w:lineRule="auto"/>
            </w:pPr>
            <w:r w:rsidRPr="00C62460">
              <w:t>The target and source molecule</w:t>
            </w:r>
            <w:r w:rsidR="00BB0FB9">
              <w:t>s</w:t>
            </w:r>
            <w:r w:rsidRPr="00C62460">
              <w:t xml:space="preserve"> are highly similar </w:t>
            </w:r>
            <w:r w:rsidR="008E5BA3">
              <w:t xml:space="preserve">with regard to the chemistry domain. The molecules share the same </w:t>
            </w:r>
            <w:r w:rsidR="001B6A77">
              <w:t>key structural fragment that is responsible for the</w:t>
            </w:r>
            <w:r w:rsidR="003A0A05" w:rsidRPr="00CE6D3D">
              <w:rPr>
                <w:color w:val="000000" w:themeColor="text1"/>
              </w:rPr>
              <w:t xml:space="preserve"> </w:t>
            </w:r>
            <w:r w:rsidR="00CE6D3D">
              <w:rPr>
                <w:color w:val="000000" w:themeColor="text1"/>
              </w:rPr>
              <w:t xml:space="preserve">dominant </w:t>
            </w:r>
            <w:r w:rsidR="003A0A05">
              <w:t>mode of action. There are no structural fragments that would</w:t>
            </w:r>
            <w:r w:rsidR="00CE6D3D">
              <w:t xml:space="preserve"> be expected to</w:t>
            </w:r>
            <w:r w:rsidR="003A0A05">
              <w:t xml:space="preserve"> affect toxicity significant</w:t>
            </w:r>
            <w:r w:rsidR="00CE6D3D">
              <w:t>ly</w:t>
            </w:r>
            <w:r w:rsidR="003A0A05">
              <w:t xml:space="preserve">. All relevant </w:t>
            </w:r>
            <w:proofErr w:type="spellStart"/>
            <w:r w:rsidR="003A0A05">
              <w:t>physico</w:t>
            </w:r>
            <w:proofErr w:type="spellEnd"/>
            <w:r w:rsidR="003A0A05">
              <w:t xml:space="preserve">-chemical properties are </w:t>
            </w:r>
            <w:r w:rsidR="00414678">
              <w:t>similar.</w:t>
            </w:r>
          </w:p>
        </w:tc>
      </w:tr>
      <w:tr w:rsidR="00DF5F15" w14:paraId="745E1D42" w14:textId="77777777" w:rsidTr="00AF2F0D">
        <w:tc>
          <w:tcPr>
            <w:tcW w:w="13745" w:type="dxa"/>
            <w:gridSpan w:val="6"/>
          </w:tcPr>
          <w:p w14:paraId="35756987" w14:textId="77777777" w:rsidR="00DF5F15" w:rsidRDefault="00DF5F15" w:rsidP="006E5ECE">
            <w:pPr>
              <w:spacing w:after="120" w:line="480" w:lineRule="auto"/>
            </w:pPr>
          </w:p>
        </w:tc>
      </w:tr>
      <w:tr w:rsidR="00DF5F15" w14:paraId="5117D716" w14:textId="77777777" w:rsidTr="00AF2F0D">
        <w:tc>
          <w:tcPr>
            <w:tcW w:w="13745" w:type="dxa"/>
            <w:gridSpan w:val="6"/>
          </w:tcPr>
          <w:p w14:paraId="5995562D" w14:textId="77777777" w:rsidR="00DF5F15" w:rsidRPr="001C734F" w:rsidRDefault="00DF5F15" w:rsidP="006E5ECE">
            <w:pPr>
              <w:spacing w:after="120" w:line="480" w:lineRule="auto"/>
              <w:jc w:val="center"/>
              <w:rPr>
                <w:b/>
                <w:bCs/>
              </w:rPr>
            </w:pPr>
            <w:proofErr w:type="spellStart"/>
            <w:r w:rsidRPr="001C734F">
              <w:rPr>
                <w:b/>
                <w:bCs/>
              </w:rPr>
              <w:t>Toxicodynamics</w:t>
            </w:r>
            <w:proofErr w:type="spellEnd"/>
          </w:p>
        </w:tc>
      </w:tr>
      <w:tr w:rsidR="00DF5F15" w14:paraId="17001450" w14:textId="77777777" w:rsidTr="00AF2F0D">
        <w:tc>
          <w:tcPr>
            <w:tcW w:w="13745" w:type="dxa"/>
            <w:gridSpan w:val="6"/>
          </w:tcPr>
          <w:p w14:paraId="4119D4A8" w14:textId="77777777" w:rsidR="00DF5F15" w:rsidRDefault="00DF5F15" w:rsidP="006E5ECE">
            <w:pPr>
              <w:spacing w:after="120" w:line="480" w:lineRule="auto"/>
            </w:pPr>
          </w:p>
        </w:tc>
      </w:tr>
      <w:tr w:rsidR="00DF5F15" w14:paraId="5F23D661" w14:textId="77777777" w:rsidTr="006E5ECE">
        <w:tc>
          <w:tcPr>
            <w:tcW w:w="1838" w:type="dxa"/>
            <w:vMerge w:val="restart"/>
          </w:tcPr>
          <w:p w14:paraId="79180E63" w14:textId="62EDDA62" w:rsidR="00DF5F15" w:rsidRDefault="00DF5F15" w:rsidP="006E5ECE">
            <w:pPr>
              <w:spacing w:after="120" w:line="480" w:lineRule="auto"/>
            </w:pPr>
            <w:r>
              <w:t>Toxicology</w:t>
            </w:r>
          </w:p>
        </w:tc>
        <w:tc>
          <w:tcPr>
            <w:tcW w:w="2693" w:type="dxa"/>
          </w:tcPr>
          <w:p w14:paraId="2AECD730" w14:textId="151A2F95" w:rsidR="00DF5F15" w:rsidRPr="00F64598" w:rsidRDefault="00DF5F15" w:rsidP="006E5ECE">
            <w:pPr>
              <w:spacing w:after="120" w:line="480" w:lineRule="auto"/>
            </w:pPr>
            <w:r>
              <w:t xml:space="preserve">Effect responsible for toxicity </w:t>
            </w:r>
          </w:p>
        </w:tc>
        <w:tc>
          <w:tcPr>
            <w:tcW w:w="1985" w:type="dxa"/>
          </w:tcPr>
          <w:p w14:paraId="5B082394" w14:textId="4CE9D5A8" w:rsidR="00DF5F15" w:rsidRDefault="00DF5F15" w:rsidP="006E5ECE">
            <w:pPr>
              <w:spacing w:after="120" w:line="480" w:lineRule="auto"/>
            </w:pPr>
            <w:r>
              <w:t>Liver toxicity</w:t>
            </w:r>
          </w:p>
        </w:tc>
        <w:tc>
          <w:tcPr>
            <w:tcW w:w="1559" w:type="dxa"/>
          </w:tcPr>
          <w:p w14:paraId="6249C81E" w14:textId="572D5EC7" w:rsidR="00DF5F15" w:rsidRDefault="00DF5F15" w:rsidP="006E5ECE">
            <w:pPr>
              <w:spacing w:after="120" w:line="480" w:lineRule="auto"/>
            </w:pPr>
            <w:r w:rsidRPr="00755975">
              <w:t>Liver toxicity</w:t>
            </w:r>
          </w:p>
        </w:tc>
        <w:tc>
          <w:tcPr>
            <w:tcW w:w="3119" w:type="dxa"/>
          </w:tcPr>
          <w:p w14:paraId="438F218E" w14:textId="5DD93F90" w:rsidR="00DF5F15" w:rsidRDefault="00DF5F15" w:rsidP="006E5ECE">
            <w:pPr>
              <w:spacing w:after="120" w:line="480" w:lineRule="auto"/>
            </w:pPr>
            <w:r>
              <w:t>No significant difference</w:t>
            </w:r>
          </w:p>
        </w:tc>
        <w:tc>
          <w:tcPr>
            <w:tcW w:w="2551" w:type="dxa"/>
          </w:tcPr>
          <w:p w14:paraId="65072BAF" w14:textId="3079CD2C" w:rsidR="00DF5F15" w:rsidRDefault="00DF5F15" w:rsidP="006E5ECE">
            <w:pPr>
              <w:spacing w:after="120" w:line="480" w:lineRule="auto"/>
            </w:pPr>
            <w:r>
              <w:t>In domain</w:t>
            </w:r>
          </w:p>
        </w:tc>
      </w:tr>
      <w:tr w:rsidR="00DF5F15" w14:paraId="3D09C896" w14:textId="77777777" w:rsidTr="006E5ECE">
        <w:tc>
          <w:tcPr>
            <w:tcW w:w="1838" w:type="dxa"/>
            <w:vMerge/>
          </w:tcPr>
          <w:p w14:paraId="10E49ADA" w14:textId="77777777" w:rsidR="00DF5F15" w:rsidRPr="001A1C11" w:rsidRDefault="00DF5F15" w:rsidP="00CF18C5">
            <w:pPr>
              <w:spacing w:after="120" w:line="480" w:lineRule="auto"/>
            </w:pPr>
          </w:p>
        </w:tc>
        <w:tc>
          <w:tcPr>
            <w:tcW w:w="2693" w:type="dxa"/>
          </w:tcPr>
          <w:p w14:paraId="2D155132" w14:textId="4AC5FADD" w:rsidR="00DF5F15" w:rsidRDefault="00DF5F15" w:rsidP="00CF18C5">
            <w:pPr>
              <w:spacing w:after="120" w:line="480" w:lineRule="auto"/>
            </w:pPr>
            <w:r>
              <w:t>Non-standard data</w:t>
            </w:r>
          </w:p>
        </w:tc>
        <w:tc>
          <w:tcPr>
            <w:tcW w:w="1985" w:type="dxa"/>
          </w:tcPr>
          <w:p w14:paraId="25D8C741" w14:textId="0CAAB318" w:rsidR="00DF5F15" w:rsidRDefault="00DF5F15" w:rsidP="00CF18C5">
            <w:pPr>
              <w:spacing w:after="120" w:line="480" w:lineRule="auto"/>
            </w:pPr>
            <w:r>
              <w:t>None</w:t>
            </w:r>
          </w:p>
        </w:tc>
        <w:tc>
          <w:tcPr>
            <w:tcW w:w="1559" w:type="dxa"/>
          </w:tcPr>
          <w:p w14:paraId="0860C529" w14:textId="0299EBC3" w:rsidR="00DF5F15" w:rsidRDefault="00DF5F15" w:rsidP="00CF18C5">
            <w:pPr>
              <w:spacing w:after="120" w:line="480" w:lineRule="auto"/>
            </w:pPr>
            <w:r w:rsidRPr="00755975">
              <w:t>None</w:t>
            </w:r>
          </w:p>
        </w:tc>
        <w:tc>
          <w:tcPr>
            <w:tcW w:w="3119" w:type="dxa"/>
          </w:tcPr>
          <w:p w14:paraId="03786062" w14:textId="5CE2C4F8" w:rsidR="00DF5F15" w:rsidRPr="00B50211" w:rsidRDefault="00B50211" w:rsidP="00CF18C5">
            <w:pPr>
              <w:spacing w:after="120" w:line="480" w:lineRule="auto"/>
              <w:rPr>
                <w:color w:val="000000" w:themeColor="text1"/>
              </w:rPr>
            </w:pPr>
            <w:r>
              <w:rPr>
                <w:color w:val="000000" w:themeColor="text1"/>
              </w:rPr>
              <w:t>N/A</w:t>
            </w:r>
          </w:p>
        </w:tc>
        <w:tc>
          <w:tcPr>
            <w:tcW w:w="2551" w:type="dxa"/>
          </w:tcPr>
          <w:p w14:paraId="3C1642B4" w14:textId="43A70AB2" w:rsidR="00DF5F15" w:rsidRDefault="00DF5F15" w:rsidP="00CF18C5">
            <w:pPr>
              <w:spacing w:after="120" w:line="480" w:lineRule="auto"/>
            </w:pPr>
            <w:r>
              <w:t>In domain</w:t>
            </w:r>
          </w:p>
        </w:tc>
      </w:tr>
      <w:tr w:rsidR="00DF5F15" w14:paraId="1462CBB1" w14:textId="77777777" w:rsidTr="006E5ECE">
        <w:tc>
          <w:tcPr>
            <w:tcW w:w="1838" w:type="dxa"/>
            <w:vMerge/>
          </w:tcPr>
          <w:p w14:paraId="34787DF0" w14:textId="77777777" w:rsidR="00DF5F15" w:rsidRPr="001A1C11" w:rsidRDefault="00DF5F15" w:rsidP="00CF18C5">
            <w:pPr>
              <w:spacing w:after="120" w:line="480" w:lineRule="auto"/>
            </w:pPr>
          </w:p>
        </w:tc>
        <w:tc>
          <w:tcPr>
            <w:tcW w:w="2693" w:type="dxa"/>
          </w:tcPr>
          <w:p w14:paraId="0D8435C2" w14:textId="656C283D" w:rsidR="00DF5F15" w:rsidRDefault="00DF5F15" w:rsidP="00CF18C5">
            <w:pPr>
              <w:spacing w:after="120" w:line="480" w:lineRule="auto"/>
            </w:pPr>
            <w:r>
              <w:t>Data for other (related) endpoints</w:t>
            </w:r>
          </w:p>
        </w:tc>
        <w:tc>
          <w:tcPr>
            <w:tcW w:w="1985" w:type="dxa"/>
          </w:tcPr>
          <w:p w14:paraId="240F1797" w14:textId="30AC0C09" w:rsidR="00DF5F15" w:rsidRDefault="00DF5F15" w:rsidP="00CF18C5">
            <w:pPr>
              <w:spacing w:after="120" w:line="480" w:lineRule="auto"/>
            </w:pPr>
            <w:r>
              <w:t>None</w:t>
            </w:r>
          </w:p>
        </w:tc>
        <w:tc>
          <w:tcPr>
            <w:tcW w:w="1559" w:type="dxa"/>
          </w:tcPr>
          <w:p w14:paraId="7208B399" w14:textId="65F647CB" w:rsidR="00DF5F15" w:rsidRDefault="00DF5F15" w:rsidP="00CF18C5">
            <w:pPr>
              <w:spacing w:after="120" w:line="480" w:lineRule="auto"/>
            </w:pPr>
            <w:r w:rsidRPr="00755975">
              <w:t>None</w:t>
            </w:r>
          </w:p>
        </w:tc>
        <w:tc>
          <w:tcPr>
            <w:tcW w:w="3119" w:type="dxa"/>
          </w:tcPr>
          <w:p w14:paraId="52DEFA2E" w14:textId="02AB4340" w:rsidR="00DF5F15" w:rsidRPr="00B50211" w:rsidRDefault="00B50211" w:rsidP="00CF18C5">
            <w:pPr>
              <w:spacing w:after="120" w:line="480" w:lineRule="auto"/>
              <w:rPr>
                <w:color w:val="000000" w:themeColor="text1"/>
              </w:rPr>
            </w:pPr>
            <w:r>
              <w:rPr>
                <w:color w:val="000000" w:themeColor="text1"/>
              </w:rPr>
              <w:t>N/A</w:t>
            </w:r>
          </w:p>
        </w:tc>
        <w:tc>
          <w:tcPr>
            <w:tcW w:w="2551" w:type="dxa"/>
          </w:tcPr>
          <w:p w14:paraId="4F308B74" w14:textId="3AE625AF" w:rsidR="00DF5F15" w:rsidRDefault="00DF5F15" w:rsidP="00CF18C5">
            <w:pPr>
              <w:spacing w:after="120" w:line="480" w:lineRule="auto"/>
            </w:pPr>
            <w:r>
              <w:t>In domain</w:t>
            </w:r>
          </w:p>
        </w:tc>
      </w:tr>
      <w:tr w:rsidR="00DF5F15" w14:paraId="1EF19890" w14:textId="77777777" w:rsidTr="006E5ECE">
        <w:tc>
          <w:tcPr>
            <w:tcW w:w="1838" w:type="dxa"/>
          </w:tcPr>
          <w:p w14:paraId="7CE4201A" w14:textId="7F3FA9F7" w:rsidR="00DF5F15" w:rsidRDefault="00DF5F15" w:rsidP="006E5ECE">
            <w:pPr>
              <w:spacing w:after="120" w:line="480" w:lineRule="auto"/>
            </w:pPr>
            <w:r w:rsidRPr="001A1C11">
              <w:t>M</w:t>
            </w:r>
            <w:r w:rsidR="001261ED">
              <w:t xml:space="preserve">olecular </w:t>
            </w:r>
            <w:r w:rsidRPr="001A1C11">
              <w:t>I</w:t>
            </w:r>
            <w:r w:rsidR="001261ED">
              <w:t xml:space="preserve">nitiating </w:t>
            </w:r>
            <w:r w:rsidRPr="001A1C11">
              <w:t>E</w:t>
            </w:r>
            <w:r w:rsidR="001261ED">
              <w:t>vent</w:t>
            </w:r>
          </w:p>
        </w:tc>
        <w:tc>
          <w:tcPr>
            <w:tcW w:w="2693" w:type="dxa"/>
          </w:tcPr>
          <w:p w14:paraId="56B06F9E" w14:textId="48686005" w:rsidR="00DF5F15" w:rsidRPr="007471CF" w:rsidRDefault="000D4AA6" w:rsidP="006E5ECE">
            <w:pPr>
              <w:spacing w:after="120" w:line="480" w:lineRule="auto"/>
            </w:pPr>
            <w:r>
              <w:t>I</w:t>
            </w:r>
            <w:r w:rsidR="00DF5F15" w:rsidRPr="007471CF">
              <w:t>nteraction between the molecule and biological system causing the toxicity (i.e. the MIE)</w:t>
            </w:r>
          </w:p>
        </w:tc>
        <w:tc>
          <w:tcPr>
            <w:tcW w:w="1985" w:type="dxa"/>
          </w:tcPr>
          <w:p w14:paraId="49B6E913" w14:textId="7A177AC9" w:rsidR="00DF5F15" w:rsidRDefault="00DF5F15" w:rsidP="006E5ECE">
            <w:pPr>
              <w:spacing w:after="120" w:line="480" w:lineRule="auto"/>
            </w:pPr>
            <w:r>
              <w:t>Receptor binding (to nuclear receptors)</w:t>
            </w:r>
          </w:p>
        </w:tc>
        <w:tc>
          <w:tcPr>
            <w:tcW w:w="1559" w:type="dxa"/>
          </w:tcPr>
          <w:p w14:paraId="09184E3B" w14:textId="06B2AEC5" w:rsidR="00DF5F15" w:rsidRDefault="00DF5F15" w:rsidP="006E5ECE">
            <w:pPr>
              <w:spacing w:after="120" w:line="480" w:lineRule="auto"/>
            </w:pPr>
            <w:r w:rsidRPr="00E745C4">
              <w:t>Receptor binding (to nuclear receptors)</w:t>
            </w:r>
          </w:p>
        </w:tc>
        <w:tc>
          <w:tcPr>
            <w:tcW w:w="3119" w:type="dxa"/>
          </w:tcPr>
          <w:p w14:paraId="047DD620" w14:textId="6CCD4057" w:rsidR="00DF5F15" w:rsidRDefault="00DF5F15" w:rsidP="006E5ECE">
            <w:pPr>
              <w:spacing w:after="120" w:line="480" w:lineRule="auto"/>
            </w:pPr>
            <w:r>
              <w:t>No significant difference</w:t>
            </w:r>
          </w:p>
        </w:tc>
        <w:tc>
          <w:tcPr>
            <w:tcW w:w="2551" w:type="dxa"/>
          </w:tcPr>
          <w:p w14:paraId="6A8C2EF0" w14:textId="096699B3" w:rsidR="00DF5F15" w:rsidRDefault="00DF5F15" w:rsidP="006E5ECE">
            <w:pPr>
              <w:spacing w:after="120" w:line="480" w:lineRule="auto"/>
            </w:pPr>
            <w:r>
              <w:t>In domain</w:t>
            </w:r>
          </w:p>
        </w:tc>
      </w:tr>
      <w:tr w:rsidR="00DF5F15" w14:paraId="2B3F79FD" w14:textId="77777777" w:rsidTr="006E5ECE">
        <w:tc>
          <w:tcPr>
            <w:tcW w:w="1838" w:type="dxa"/>
            <w:vMerge w:val="restart"/>
          </w:tcPr>
          <w:p w14:paraId="35768AF4" w14:textId="77777777" w:rsidR="00DF5F15" w:rsidRDefault="00DF5F15" w:rsidP="006E5ECE">
            <w:pPr>
              <w:spacing w:after="120" w:line="480" w:lineRule="auto"/>
            </w:pPr>
            <w:r>
              <w:t>Mechanistic analysis</w:t>
            </w:r>
          </w:p>
        </w:tc>
        <w:tc>
          <w:tcPr>
            <w:tcW w:w="2693" w:type="dxa"/>
          </w:tcPr>
          <w:p w14:paraId="1FBD86CA" w14:textId="38937F17" w:rsidR="00DF5F15" w:rsidRDefault="00DF5F15" w:rsidP="006E5ECE">
            <w:pPr>
              <w:spacing w:after="120" w:line="480" w:lineRule="auto"/>
            </w:pPr>
            <w:r w:rsidRPr="00E745C4">
              <w:rPr>
                <w:i/>
                <w:iCs/>
              </w:rPr>
              <w:t>In silico</w:t>
            </w:r>
            <w:r>
              <w:t xml:space="preserve"> screening for oestrogen receptor binding</w:t>
            </w:r>
          </w:p>
        </w:tc>
        <w:tc>
          <w:tcPr>
            <w:tcW w:w="1985" w:type="dxa"/>
          </w:tcPr>
          <w:p w14:paraId="44E8A62F" w14:textId="3547A4C7" w:rsidR="00DF5F15" w:rsidRDefault="00DF5F15" w:rsidP="006E5ECE">
            <w:pPr>
              <w:spacing w:after="120" w:line="480" w:lineRule="auto"/>
            </w:pPr>
            <w:r>
              <w:t>No alert</w:t>
            </w:r>
          </w:p>
        </w:tc>
        <w:tc>
          <w:tcPr>
            <w:tcW w:w="1559" w:type="dxa"/>
          </w:tcPr>
          <w:p w14:paraId="2C3C38C2" w14:textId="6F03C7EF" w:rsidR="00DF5F15" w:rsidRDefault="00DF5F15" w:rsidP="006E5ECE">
            <w:pPr>
              <w:spacing w:after="120" w:line="480" w:lineRule="auto"/>
            </w:pPr>
            <w:r w:rsidRPr="00D73B05">
              <w:t>No alert</w:t>
            </w:r>
          </w:p>
        </w:tc>
        <w:tc>
          <w:tcPr>
            <w:tcW w:w="3119" w:type="dxa"/>
          </w:tcPr>
          <w:p w14:paraId="1D5A4298" w14:textId="5C8B5A8E" w:rsidR="00DF5F15" w:rsidRDefault="00DF5F15" w:rsidP="006E5ECE">
            <w:pPr>
              <w:spacing w:after="120" w:line="480" w:lineRule="auto"/>
            </w:pPr>
            <w:r w:rsidRPr="006628F3">
              <w:t>No significant difference</w:t>
            </w:r>
          </w:p>
        </w:tc>
        <w:tc>
          <w:tcPr>
            <w:tcW w:w="2551" w:type="dxa"/>
          </w:tcPr>
          <w:p w14:paraId="2AB98C13" w14:textId="7AA78EEF" w:rsidR="00DF5F15" w:rsidRDefault="00DF5F15" w:rsidP="006E5ECE">
            <w:pPr>
              <w:spacing w:after="120" w:line="480" w:lineRule="auto"/>
            </w:pPr>
            <w:r w:rsidRPr="006628F3">
              <w:t>In domain</w:t>
            </w:r>
          </w:p>
        </w:tc>
      </w:tr>
      <w:tr w:rsidR="00DF5F15" w14:paraId="51A6E7D6" w14:textId="77777777" w:rsidTr="006E5ECE">
        <w:tc>
          <w:tcPr>
            <w:tcW w:w="1838" w:type="dxa"/>
            <w:vMerge/>
          </w:tcPr>
          <w:p w14:paraId="6CE2A522" w14:textId="77777777" w:rsidR="00DF5F15" w:rsidRDefault="00DF5F15" w:rsidP="00CF18C5">
            <w:pPr>
              <w:spacing w:after="120" w:line="480" w:lineRule="auto"/>
            </w:pPr>
          </w:p>
        </w:tc>
        <w:tc>
          <w:tcPr>
            <w:tcW w:w="2693" w:type="dxa"/>
          </w:tcPr>
          <w:p w14:paraId="4DE5F253" w14:textId="6073C02A" w:rsidR="00DF5F15" w:rsidRDefault="00DF5F15" w:rsidP="00CF18C5">
            <w:pPr>
              <w:spacing w:after="120" w:line="480" w:lineRule="auto"/>
            </w:pPr>
            <w:r w:rsidRPr="00E745C4">
              <w:rPr>
                <w:i/>
                <w:iCs/>
              </w:rPr>
              <w:t>In silico</w:t>
            </w:r>
            <w:r w:rsidRPr="00493184">
              <w:t xml:space="preserve"> screening for </w:t>
            </w:r>
            <w:r>
              <w:t>thyroid receptor</w:t>
            </w:r>
            <w:r w:rsidRPr="00493184">
              <w:t xml:space="preserve"> binding</w:t>
            </w:r>
          </w:p>
        </w:tc>
        <w:tc>
          <w:tcPr>
            <w:tcW w:w="1985" w:type="dxa"/>
          </w:tcPr>
          <w:p w14:paraId="098E466D" w14:textId="0880F4F5" w:rsidR="00DF5F15" w:rsidRDefault="00DF5F15" w:rsidP="00CF18C5">
            <w:pPr>
              <w:spacing w:after="120" w:line="480" w:lineRule="auto"/>
            </w:pPr>
            <w:r w:rsidRPr="00493184">
              <w:t>No alert</w:t>
            </w:r>
          </w:p>
        </w:tc>
        <w:tc>
          <w:tcPr>
            <w:tcW w:w="1559" w:type="dxa"/>
          </w:tcPr>
          <w:p w14:paraId="32308922" w14:textId="7F1A1222" w:rsidR="00DF5F15" w:rsidRDefault="00DF5F15" w:rsidP="00CF18C5">
            <w:pPr>
              <w:spacing w:after="120" w:line="480" w:lineRule="auto"/>
            </w:pPr>
            <w:r w:rsidRPr="00D73B05">
              <w:t>No alert</w:t>
            </w:r>
          </w:p>
        </w:tc>
        <w:tc>
          <w:tcPr>
            <w:tcW w:w="3119" w:type="dxa"/>
          </w:tcPr>
          <w:p w14:paraId="0B09A669" w14:textId="691DD2D3" w:rsidR="00DF5F15" w:rsidRPr="00D50E8E" w:rsidRDefault="00DF5F15" w:rsidP="00CF18C5">
            <w:pPr>
              <w:spacing w:after="120" w:line="480" w:lineRule="auto"/>
              <w:rPr>
                <w:color w:val="000000" w:themeColor="text1"/>
              </w:rPr>
            </w:pPr>
            <w:r w:rsidRPr="00D50E8E">
              <w:rPr>
                <w:color w:val="000000" w:themeColor="text1"/>
              </w:rPr>
              <w:t>No significant difference</w:t>
            </w:r>
          </w:p>
        </w:tc>
        <w:tc>
          <w:tcPr>
            <w:tcW w:w="2551" w:type="dxa"/>
          </w:tcPr>
          <w:p w14:paraId="0C41C172" w14:textId="2F1FFEB0" w:rsidR="00DF5F15" w:rsidRDefault="00DF5F15" w:rsidP="00CF18C5">
            <w:pPr>
              <w:spacing w:after="120" w:line="480" w:lineRule="auto"/>
            </w:pPr>
            <w:r w:rsidRPr="006628F3">
              <w:t>In domain</w:t>
            </w:r>
          </w:p>
        </w:tc>
      </w:tr>
      <w:tr w:rsidR="00DF5F15" w14:paraId="257FB379" w14:textId="77777777" w:rsidTr="006E5ECE">
        <w:tc>
          <w:tcPr>
            <w:tcW w:w="1838" w:type="dxa"/>
            <w:vMerge/>
          </w:tcPr>
          <w:p w14:paraId="2A9F115C" w14:textId="77777777" w:rsidR="00DF5F15" w:rsidRDefault="00DF5F15" w:rsidP="00CF18C5">
            <w:pPr>
              <w:spacing w:after="120" w:line="480" w:lineRule="auto"/>
            </w:pPr>
          </w:p>
        </w:tc>
        <w:tc>
          <w:tcPr>
            <w:tcW w:w="2693" w:type="dxa"/>
          </w:tcPr>
          <w:p w14:paraId="3369B164" w14:textId="3E1864FB" w:rsidR="00DF5F15" w:rsidRDefault="00DF5F15" w:rsidP="00CF18C5">
            <w:pPr>
              <w:spacing w:after="120" w:line="480" w:lineRule="auto"/>
            </w:pPr>
            <w:r w:rsidRPr="00E745C4">
              <w:rPr>
                <w:i/>
                <w:iCs/>
              </w:rPr>
              <w:t>In silico</w:t>
            </w:r>
            <w:r w:rsidRPr="00E81647">
              <w:t xml:space="preserve"> screening for </w:t>
            </w:r>
            <w:r>
              <w:t>non-genotoxic carcinogenicity</w:t>
            </w:r>
          </w:p>
        </w:tc>
        <w:tc>
          <w:tcPr>
            <w:tcW w:w="1985" w:type="dxa"/>
          </w:tcPr>
          <w:p w14:paraId="78C7214A" w14:textId="658F6441" w:rsidR="00DF5F15" w:rsidRDefault="00DF5F15" w:rsidP="00CF18C5">
            <w:pPr>
              <w:spacing w:after="120" w:line="480" w:lineRule="auto"/>
            </w:pPr>
            <w:r w:rsidRPr="00E81647">
              <w:t>No alert</w:t>
            </w:r>
          </w:p>
        </w:tc>
        <w:tc>
          <w:tcPr>
            <w:tcW w:w="1559" w:type="dxa"/>
          </w:tcPr>
          <w:p w14:paraId="0A551D88" w14:textId="26369B5D" w:rsidR="00DF5F15" w:rsidRDefault="00DF5F15" w:rsidP="00CF18C5">
            <w:pPr>
              <w:spacing w:after="120" w:line="480" w:lineRule="auto"/>
            </w:pPr>
            <w:r w:rsidRPr="00D73B05">
              <w:t>No alert</w:t>
            </w:r>
          </w:p>
        </w:tc>
        <w:tc>
          <w:tcPr>
            <w:tcW w:w="3119" w:type="dxa"/>
          </w:tcPr>
          <w:p w14:paraId="7E5A9171" w14:textId="382DCF4E" w:rsidR="00DF5F15" w:rsidRPr="00D50E8E" w:rsidRDefault="00DF5F15" w:rsidP="00CF18C5">
            <w:pPr>
              <w:spacing w:after="120" w:line="480" w:lineRule="auto"/>
              <w:rPr>
                <w:color w:val="000000" w:themeColor="text1"/>
              </w:rPr>
            </w:pPr>
            <w:r w:rsidRPr="00D50E8E">
              <w:rPr>
                <w:color w:val="000000" w:themeColor="text1"/>
              </w:rPr>
              <w:t>No significant difference</w:t>
            </w:r>
          </w:p>
        </w:tc>
        <w:tc>
          <w:tcPr>
            <w:tcW w:w="2551" w:type="dxa"/>
          </w:tcPr>
          <w:p w14:paraId="738A8E3D" w14:textId="67D8D141" w:rsidR="00DF5F15" w:rsidRDefault="00DF5F15" w:rsidP="00CF18C5">
            <w:pPr>
              <w:spacing w:after="120" w:line="480" w:lineRule="auto"/>
            </w:pPr>
            <w:r w:rsidRPr="006628F3">
              <w:t>In domain</w:t>
            </w:r>
          </w:p>
        </w:tc>
      </w:tr>
      <w:tr w:rsidR="00DF5F15" w14:paraId="1C49AE6A" w14:textId="77777777" w:rsidTr="006E5ECE">
        <w:tc>
          <w:tcPr>
            <w:tcW w:w="1838" w:type="dxa"/>
            <w:vMerge/>
          </w:tcPr>
          <w:p w14:paraId="79442694" w14:textId="77777777" w:rsidR="00DF5F15" w:rsidRDefault="00DF5F15" w:rsidP="00CF18C5">
            <w:pPr>
              <w:spacing w:after="120" w:line="480" w:lineRule="auto"/>
            </w:pPr>
          </w:p>
        </w:tc>
        <w:tc>
          <w:tcPr>
            <w:tcW w:w="2693" w:type="dxa"/>
          </w:tcPr>
          <w:p w14:paraId="4688F4B3" w14:textId="65343A90" w:rsidR="00DF5F15" w:rsidRDefault="00DF5F15" w:rsidP="00CF18C5">
            <w:pPr>
              <w:spacing w:after="120" w:line="480" w:lineRule="auto"/>
            </w:pPr>
            <w:r w:rsidRPr="00E745C4">
              <w:rPr>
                <w:i/>
                <w:iCs/>
              </w:rPr>
              <w:t>In silico</w:t>
            </w:r>
            <w:r w:rsidRPr="001C6E0C">
              <w:t xml:space="preserve"> screening for </w:t>
            </w:r>
            <w:r>
              <w:t>Development and Reproductive Toxicity</w:t>
            </w:r>
          </w:p>
        </w:tc>
        <w:tc>
          <w:tcPr>
            <w:tcW w:w="1985" w:type="dxa"/>
          </w:tcPr>
          <w:p w14:paraId="0F205777" w14:textId="473D1776" w:rsidR="00DF5F15" w:rsidRDefault="00DF5F15" w:rsidP="00CF18C5">
            <w:pPr>
              <w:spacing w:after="120" w:line="480" w:lineRule="auto"/>
            </w:pPr>
            <w:r>
              <w:t>A</w:t>
            </w:r>
            <w:r w:rsidRPr="001C6E0C">
              <w:t>lert</w:t>
            </w:r>
            <w:r>
              <w:t>s for i) polyhalogenated benzene derivative and ii) thiazole derivative</w:t>
            </w:r>
          </w:p>
        </w:tc>
        <w:tc>
          <w:tcPr>
            <w:tcW w:w="1559" w:type="dxa"/>
          </w:tcPr>
          <w:p w14:paraId="66C81AF0" w14:textId="7DE48045" w:rsidR="00DF5F15" w:rsidRDefault="00DF5F15" w:rsidP="00CF18C5">
            <w:pPr>
              <w:spacing w:after="120" w:line="480" w:lineRule="auto"/>
            </w:pPr>
            <w:r>
              <w:t>A</w:t>
            </w:r>
            <w:r w:rsidRPr="001C6E0C">
              <w:t>lert</w:t>
            </w:r>
            <w:r>
              <w:t>s for i) polyhalogenated benzene derivative and ii) thiazole derivative</w:t>
            </w:r>
          </w:p>
        </w:tc>
        <w:tc>
          <w:tcPr>
            <w:tcW w:w="3119" w:type="dxa"/>
          </w:tcPr>
          <w:p w14:paraId="25BE578F" w14:textId="162EC458" w:rsidR="00DF5F15" w:rsidRDefault="00DF5F15" w:rsidP="00CF18C5">
            <w:pPr>
              <w:spacing w:after="120" w:line="480" w:lineRule="auto"/>
            </w:pPr>
            <w:r w:rsidRPr="006628F3">
              <w:t>No significant difference</w:t>
            </w:r>
          </w:p>
        </w:tc>
        <w:tc>
          <w:tcPr>
            <w:tcW w:w="2551" w:type="dxa"/>
          </w:tcPr>
          <w:p w14:paraId="1231D1C8" w14:textId="57F2A00D" w:rsidR="00DF5F15" w:rsidRDefault="00DF5F15" w:rsidP="00CF18C5">
            <w:pPr>
              <w:spacing w:after="120" w:line="480" w:lineRule="auto"/>
            </w:pPr>
            <w:r w:rsidRPr="006628F3">
              <w:t>In domain</w:t>
            </w:r>
          </w:p>
        </w:tc>
      </w:tr>
      <w:tr w:rsidR="004F4AB0" w14:paraId="7660B806" w14:textId="77777777" w:rsidTr="006E5ECE">
        <w:tc>
          <w:tcPr>
            <w:tcW w:w="1838" w:type="dxa"/>
            <w:vMerge/>
          </w:tcPr>
          <w:p w14:paraId="3AEFC310" w14:textId="77777777" w:rsidR="004F4AB0" w:rsidRDefault="004F4AB0" w:rsidP="00CF18C5">
            <w:pPr>
              <w:spacing w:after="120" w:line="480" w:lineRule="auto"/>
            </w:pPr>
          </w:p>
        </w:tc>
        <w:tc>
          <w:tcPr>
            <w:tcW w:w="2693" w:type="dxa"/>
          </w:tcPr>
          <w:p w14:paraId="1B1B22F1" w14:textId="1C49934E" w:rsidR="004F4AB0" w:rsidRPr="00E64F79" w:rsidRDefault="004F4AB0" w:rsidP="00CF18C5">
            <w:pPr>
              <w:spacing w:after="120" w:line="480" w:lineRule="auto"/>
            </w:pPr>
            <w:r w:rsidRPr="004F4AB0">
              <w:rPr>
                <w:i/>
                <w:iCs/>
              </w:rPr>
              <w:t>In silico</w:t>
            </w:r>
            <w:r w:rsidRPr="00691D6A">
              <w:t xml:space="preserve"> screening for protein binding</w:t>
            </w:r>
          </w:p>
        </w:tc>
        <w:tc>
          <w:tcPr>
            <w:tcW w:w="1985" w:type="dxa"/>
          </w:tcPr>
          <w:p w14:paraId="7B184121" w14:textId="051A8D0A" w:rsidR="004F4AB0" w:rsidRPr="00E64F79" w:rsidRDefault="004F4AB0" w:rsidP="00CF18C5">
            <w:pPr>
              <w:spacing w:after="120" w:line="480" w:lineRule="auto"/>
            </w:pPr>
            <w:r w:rsidRPr="008D444F">
              <w:t>No alert</w:t>
            </w:r>
          </w:p>
        </w:tc>
        <w:tc>
          <w:tcPr>
            <w:tcW w:w="1559" w:type="dxa"/>
          </w:tcPr>
          <w:p w14:paraId="6C877710" w14:textId="66A174E0" w:rsidR="004F4AB0" w:rsidRPr="00E64F79" w:rsidRDefault="004F4AB0" w:rsidP="00CF18C5">
            <w:pPr>
              <w:spacing w:after="120" w:line="480" w:lineRule="auto"/>
            </w:pPr>
            <w:r w:rsidRPr="008D444F">
              <w:t>No alert</w:t>
            </w:r>
          </w:p>
        </w:tc>
        <w:tc>
          <w:tcPr>
            <w:tcW w:w="3119" w:type="dxa"/>
          </w:tcPr>
          <w:p w14:paraId="23EF8631" w14:textId="1B2F15CC" w:rsidR="004F4AB0" w:rsidRPr="00D50E8E" w:rsidRDefault="004F4AB0" w:rsidP="00CF18C5">
            <w:pPr>
              <w:spacing w:after="120" w:line="480" w:lineRule="auto"/>
              <w:rPr>
                <w:color w:val="000000" w:themeColor="text1"/>
              </w:rPr>
            </w:pPr>
            <w:r w:rsidRPr="00D50E8E">
              <w:rPr>
                <w:color w:val="000000" w:themeColor="text1"/>
              </w:rPr>
              <w:t>No significant difference</w:t>
            </w:r>
          </w:p>
        </w:tc>
        <w:tc>
          <w:tcPr>
            <w:tcW w:w="2551" w:type="dxa"/>
          </w:tcPr>
          <w:p w14:paraId="36FBD680" w14:textId="32758011" w:rsidR="004F4AB0" w:rsidRPr="00E64F79" w:rsidRDefault="004F4AB0" w:rsidP="00CF18C5">
            <w:pPr>
              <w:spacing w:after="120" w:line="480" w:lineRule="auto"/>
            </w:pPr>
            <w:r w:rsidRPr="008D444F">
              <w:t>In domain</w:t>
            </w:r>
          </w:p>
        </w:tc>
      </w:tr>
      <w:tr w:rsidR="00A01399" w14:paraId="0B56D539" w14:textId="77777777" w:rsidTr="006E5ECE">
        <w:tc>
          <w:tcPr>
            <w:tcW w:w="1838" w:type="dxa"/>
            <w:vMerge/>
          </w:tcPr>
          <w:p w14:paraId="7411F31A" w14:textId="77777777" w:rsidR="00A01399" w:rsidRDefault="00A01399" w:rsidP="00CF18C5">
            <w:pPr>
              <w:spacing w:after="120" w:line="480" w:lineRule="auto"/>
            </w:pPr>
          </w:p>
        </w:tc>
        <w:tc>
          <w:tcPr>
            <w:tcW w:w="2693" w:type="dxa"/>
          </w:tcPr>
          <w:p w14:paraId="6FA818B7" w14:textId="0648CA0E" w:rsidR="00A01399" w:rsidRPr="00E64F79" w:rsidRDefault="00A01399" w:rsidP="00CF18C5">
            <w:pPr>
              <w:spacing w:after="120" w:line="480" w:lineRule="auto"/>
            </w:pPr>
            <w:r w:rsidRPr="004F4AB0">
              <w:rPr>
                <w:i/>
                <w:iCs/>
              </w:rPr>
              <w:t>In silico</w:t>
            </w:r>
            <w:r w:rsidRPr="00691D6A">
              <w:t xml:space="preserve"> screening for </w:t>
            </w:r>
            <w:r>
              <w:t>DNA</w:t>
            </w:r>
            <w:r w:rsidRPr="00691D6A">
              <w:t xml:space="preserve"> binding</w:t>
            </w:r>
          </w:p>
        </w:tc>
        <w:tc>
          <w:tcPr>
            <w:tcW w:w="1985" w:type="dxa"/>
          </w:tcPr>
          <w:p w14:paraId="1EC91074" w14:textId="78227BE2" w:rsidR="00A01399" w:rsidRPr="00E64F79" w:rsidRDefault="00A01399" w:rsidP="00CF18C5">
            <w:pPr>
              <w:spacing w:after="120" w:line="480" w:lineRule="auto"/>
            </w:pPr>
            <w:r w:rsidRPr="008D444F">
              <w:t>No alert</w:t>
            </w:r>
          </w:p>
        </w:tc>
        <w:tc>
          <w:tcPr>
            <w:tcW w:w="1559" w:type="dxa"/>
          </w:tcPr>
          <w:p w14:paraId="2289023E" w14:textId="5DF77793" w:rsidR="00A01399" w:rsidRPr="00E64F79" w:rsidRDefault="00A01399" w:rsidP="00CF18C5">
            <w:pPr>
              <w:spacing w:after="120" w:line="480" w:lineRule="auto"/>
            </w:pPr>
            <w:r w:rsidRPr="008D444F">
              <w:t>No alert</w:t>
            </w:r>
          </w:p>
        </w:tc>
        <w:tc>
          <w:tcPr>
            <w:tcW w:w="3119" w:type="dxa"/>
          </w:tcPr>
          <w:p w14:paraId="7D27BEAA" w14:textId="786404EE" w:rsidR="00A01399" w:rsidRPr="00D50E8E" w:rsidRDefault="00A01399" w:rsidP="00CF18C5">
            <w:pPr>
              <w:spacing w:after="120" w:line="480" w:lineRule="auto"/>
              <w:rPr>
                <w:color w:val="000000" w:themeColor="text1"/>
              </w:rPr>
            </w:pPr>
            <w:r w:rsidRPr="00D50E8E">
              <w:rPr>
                <w:color w:val="000000" w:themeColor="text1"/>
              </w:rPr>
              <w:t>No significant difference</w:t>
            </w:r>
          </w:p>
        </w:tc>
        <w:tc>
          <w:tcPr>
            <w:tcW w:w="2551" w:type="dxa"/>
          </w:tcPr>
          <w:p w14:paraId="78CA7E29" w14:textId="67F600B1" w:rsidR="00A01399" w:rsidRPr="00E64F79" w:rsidRDefault="00A01399" w:rsidP="00CF18C5">
            <w:pPr>
              <w:spacing w:after="120" w:line="480" w:lineRule="auto"/>
            </w:pPr>
            <w:r w:rsidRPr="008D444F">
              <w:t>In domain</w:t>
            </w:r>
          </w:p>
        </w:tc>
      </w:tr>
      <w:tr w:rsidR="00DF5F15" w14:paraId="416F805A" w14:textId="77777777" w:rsidTr="006E5ECE">
        <w:tc>
          <w:tcPr>
            <w:tcW w:w="1838" w:type="dxa"/>
            <w:vMerge/>
          </w:tcPr>
          <w:p w14:paraId="148E97AB" w14:textId="77777777" w:rsidR="00DF5F15" w:rsidRDefault="00DF5F15" w:rsidP="00CF18C5">
            <w:pPr>
              <w:spacing w:after="120" w:line="480" w:lineRule="auto"/>
            </w:pPr>
          </w:p>
        </w:tc>
        <w:tc>
          <w:tcPr>
            <w:tcW w:w="2693" w:type="dxa"/>
          </w:tcPr>
          <w:p w14:paraId="3D5D2EE6" w14:textId="5D9BB594" w:rsidR="00DF5F15" w:rsidRDefault="00DF5F15" w:rsidP="00CF18C5">
            <w:pPr>
              <w:spacing w:after="120" w:line="480" w:lineRule="auto"/>
            </w:pPr>
            <w:proofErr w:type="spellStart"/>
            <w:r w:rsidRPr="00E64F79">
              <w:t>ToxCast</w:t>
            </w:r>
            <w:proofErr w:type="spellEnd"/>
            <w:r w:rsidRPr="00E64F79">
              <w:t xml:space="preserve"> FXR, </w:t>
            </w:r>
            <w:proofErr w:type="spellStart"/>
            <w:r w:rsidRPr="00E64F79">
              <w:t>RARa</w:t>
            </w:r>
            <w:proofErr w:type="spellEnd"/>
            <w:r w:rsidRPr="00E64F79">
              <w:t>, AHR, CAR, PXR</w:t>
            </w:r>
          </w:p>
        </w:tc>
        <w:tc>
          <w:tcPr>
            <w:tcW w:w="1985" w:type="dxa"/>
          </w:tcPr>
          <w:p w14:paraId="3ADCF4BD" w14:textId="3991C6CF" w:rsidR="00DF5F15" w:rsidRDefault="00DF5F15" w:rsidP="00CF18C5">
            <w:pPr>
              <w:spacing w:after="120" w:line="480" w:lineRule="auto"/>
            </w:pPr>
            <w:r w:rsidRPr="00E64F79">
              <w:t>Active</w:t>
            </w:r>
          </w:p>
        </w:tc>
        <w:tc>
          <w:tcPr>
            <w:tcW w:w="1559" w:type="dxa"/>
          </w:tcPr>
          <w:p w14:paraId="49A5BF91" w14:textId="2884B716" w:rsidR="00DF5F15" w:rsidRDefault="00DF5F15" w:rsidP="00CF18C5">
            <w:pPr>
              <w:spacing w:after="120" w:line="480" w:lineRule="auto"/>
            </w:pPr>
            <w:r w:rsidRPr="00E64F79">
              <w:t>Active</w:t>
            </w:r>
          </w:p>
        </w:tc>
        <w:tc>
          <w:tcPr>
            <w:tcW w:w="3119" w:type="dxa"/>
          </w:tcPr>
          <w:p w14:paraId="76B2ED65" w14:textId="06709033" w:rsidR="00DF5F15" w:rsidRDefault="00DF5F15" w:rsidP="00CF18C5">
            <w:pPr>
              <w:spacing w:after="120" w:line="480" w:lineRule="auto"/>
            </w:pPr>
            <w:r w:rsidRPr="00E64F79">
              <w:t xml:space="preserve">No significant difference in nuclear receptor binding </w:t>
            </w:r>
          </w:p>
        </w:tc>
        <w:tc>
          <w:tcPr>
            <w:tcW w:w="2551" w:type="dxa"/>
          </w:tcPr>
          <w:p w14:paraId="494A4615" w14:textId="2758B9C3" w:rsidR="00DF5F15" w:rsidRPr="00AC1530" w:rsidRDefault="00DF5F15" w:rsidP="00CF18C5">
            <w:pPr>
              <w:spacing w:after="120" w:line="480" w:lineRule="auto"/>
            </w:pPr>
            <w:r w:rsidRPr="00E64F79">
              <w:t>In domain</w:t>
            </w:r>
          </w:p>
        </w:tc>
      </w:tr>
      <w:tr w:rsidR="00DF5F15" w14:paraId="372A58E4" w14:textId="77777777" w:rsidTr="006E5ECE">
        <w:tc>
          <w:tcPr>
            <w:tcW w:w="1838" w:type="dxa"/>
            <w:vMerge/>
          </w:tcPr>
          <w:p w14:paraId="7859ABC8" w14:textId="77777777" w:rsidR="00DF5F15" w:rsidRDefault="00DF5F15" w:rsidP="00CF18C5">
            <w:pPr>
              <w:spacing w:after="120" w:line="480" w:lineRule="auto"/>
            </w:pPr>
          </w:p>
        </w:tc>
        <w:tc>
          <w:tcPr>
            <w:tcW w:w="2693" w:type="dxa"/>
          </w:tcPr>
          <w:p w14:paraId="232019E2" w14:textId="29D37E42" w:rsidR="00DF5F15" w:rsidRDefault="00DF5F15" w:rsidP="00CF18C5">
            <w:pPr>
              <w:spacing w:after="120" w:line="480" w:lineRule="auto"/>
            </w:pPr>
            <w:proofErr w:type="spellStart"/>
            <w:r>
              <w:t>ToxCast</w:t>
            </w:r>
            <w:proofErr w:type="spellEnd"/>
            <w:r>
              <w:t xml:space="preserve"> </w:t>
            </w:r>
            <w:r w:rsidRPr="00E5138E">
              <w:rPr>
                <w:rFonts w:ascii="Calibri" w:hAnsi="Calibri" w:cs="Calibri"/>
                <w:color w:val="000000"/>
              </w:rPr>
              <w:t>CYP3A4, CYP1A2, CYP2C19, CYP2C9</w:t>
            </w:r>
          </w:p>
        </w:tc>
        <w:tc>
          <w:tcPr>
            <w:tcW w:w="1985" w:type="dxa"/>
          </w:tcPr>
          <w:p w14:paraId="218DC141" w14:textId="426FB85F" w:rsidR="00DF5F15" w:rsidRDefault="00DF5F15" w:rsidP="00CF18C5">
            <w:pPr>
              <w:spacing w:after="120" w:line="480" w:lineRule="auto"/>
            </w:pPr>
            <w:r>
              <w:t>Active</w:t>
            </w:r>
          </w:p>
        </w:tc>
        <w:tc>
          <w:tcPr>
            <w:tcW w:w="1559" w:type="dxa"/>
          </w:tcPr>
          <w:p w14:paraId="563B9F65" w14:textId="07ADFBE9" w:rsidR="00DF5F15" w:rsidRDefault="00DF5F15" w:rsidP="00CF18C5">
            <w:pPr>
              <w:spacing w:after="120" w:line="480" w:lineRule="auto"/>
            </w:pPr>
            <w:r>
              <w:t>Active</w:t>
            </w:r>
          </w:p>
        </w:tc>
        <w:tc>
          <w:tcPr>
            <w:tcW w:w="3119" w:type="dxa"/>
          </w:tcPr>
          <w:p w14:paraId="485EDC27" w14:textId="5F781D3C" w:rsidR="00DF5F15" w:rsidRDefault="00DF5F15" w:rsidP="00CF18C5">
            <w:pPr>
              <w:spacing w:after="120" w:line="480" w:lineRule="auto"/>
            </w:pPr>
            <w:r>
              <w:t xml:space="preserve">No significant difference in CYP activation </w:t>
            </w:r>
          </w:p>
        </w:tc>
        <w:tc>
          <w:tcPr>
            <w:tcW w:w="2551" w:type="dxa"/>
          </w:tcPr>
          <w:p w14:paraId="7A30A4AC" w14:textId="3440ECE6" w:rsidR="00DF5F15" w:rsidRDefault="00DF5F15" w:rsidP="00CF18C5">
            <w:pPr>
              <w:spacing w:after="120" w:line="480" w:lineRule="auto"/>
            </w:pPr>
            <w:r w:rsidRPr="00AC1530">
              <w:t>In domain</w:t>
            </w:r>
          </w:p>
        </w:tc>
      </w:tr>
      <w:tr w:rsidR="00DF5F15" w14:paraId="275669E4" w14:textId="77777777" w:rsidTr="006E5ECE">
        <w:tc>
          <w:tcPr>
            <w:tcW w:w="1838" w:type="dxa"/>
            <w:vMerge/>
          </w:tcPr>
          <w:p w14:paraId="2B497D8F" w14:textId="77777777" w:rsidR="00DF5F15" w:rsidRDefault="00DF5F15" w:rsidP="00CF18C5">
            <w:pPr>
              <w:spacing w:after="120" w:line="480" w:lineRule="auto"/>
            </w:pPr>
          </w:p>
        </w:tc>
        <w:tc>
          <w:tcPr>
            <w:tcW w:w="2693" w:type="dxa"/>
          </w:tcPr>
          <w:p w14:paraId="3D62A4E0" w14:textId="22C7FB55" w:rsidR="00DF5F15" w:rsidRDefault="00DF5F15" w:rsidP="00CF18C5">
            <w:pPr>
              <w:spacing w:after="120" w:line="480" w:lineRule="auto"/>
            </w:pPr>
            <w:r>
              <w:t>Omics data</w:t>
            </w:r>
          </w:p>
        </w:tc>
        <w:tc>
          <w:tcPr>
            <w:tcW w:w="1985" w:type="dxa"/>
          </w:tcPr>
          <w:p w14:paraId="0C5BFB9F" w14:textId="6E95C5FE" w:rsidR="00DF5F15" w:rsidRDefault="00DF5F15" w:rsidP="00CF18C5">
            <w:pPr>
              <w:spacing w:after="120" w:line="480" w:lineRule="auto"/>
            </w:pPr>
            <w:r>
              <w:t>None</w:t>
            </w:r>
          </w:p>
        </w:tc>
        <w:tc>
          <w:tcPr>
            <w:tcW w:w="1559" w:type="dxa"/>
          </w:tcPr>
          <w:p w14:paraId="3FD0B8DC" w14:textId="48AE0D44" w:rsidR="00DF5F15" w:rsidRDefault="00DF5F15" w:rsidP="00CF18C5">
            <w:pPr>
              <w:spacing w:after="120" w:line="480" w:lineRule="auto"/>
            </w:pPr>
            <w:r>
              <w:t>None</w:t>
            </w:r>
          </w:p>
        </w:tc>
        <w:tc>
          <w:tcPr>
            <w:tcW w:w="3119" w:type="dxa"/>
          </w:tcPr>
          <w:p w14:paraId="4550AF4E" w14:textId="702C72BE" w:rsidR="00DF5F15" w:rsidRDefault="00DF5F15" w:rsidP="00CF18C5">
            <w:pPr>
              <w:spacing w:after="120" w:line="480" w:lineRule="auto"/>
            </w:pPr>
            <w:r>
              <w:t>N/A</w:t>
            </w:r>
          </w:p>
        </w:tc>
        <w:tc>
          <w:tcPr>
            <w:tcW w:w="2551" w:type="dxa"/>
          </w:tcPr>
          <w:p w14:paraId="436225F1" w14:textId="57B5091B" w:rsidR="00DF5F15" w:rsidRDefault="00DF5F15" w:rsidP="00CF18C5">
            <w:pPr>
              <w:spacing w:after="120" w:line="480" w:lineRule="auto"/>
            </w:pPr>
            <w:r>
              <w:t>N/A</w:t>
            </w:r>
          </w:p>
        </w:tc>
      </w:tr>
      <w:tr w:rsidR="00414678" w14:paraId="0080952F" w14:textId="77777777" w:rsidTr="00F82F4C">
        <w:tc>
          <w:tcPr>
            <w:tcW w:w="1838" w:type="dxa"/>
          </w:tcPr>
          <w:p w14:paraId="75E30791" w14:textId="73E7A6C6" w:rsidR="00414678" w:rsidRDefault="00414678" w:rsidP="006E5ECE">
            <w:pPr>
              <w:spacing w:after="120" w:line="480" w:lineRule="auto"/>
            </w:pPr>
            <w:r w:rsidRPr="00C62460">
              <w:t>Conclusion and Justification</w:t>
            </w:r>
            <w:r>
              <w:t xml:space="preserve"> (</w:t>
            </w:r>
            <w:proofErr w:type="spellStart"/>
            <w:r>
              <w:t>Toxicodynamics</w:t>
            </w:r>
            <w:proofErr w:type="spellEnd"/>
            <w:r>
              <w:t xml:space="preserve"> Domain)</w:t>
            </w:r>
            <w:r w:rsidRPr="00C62460">
              <w:t xml:space="preserve">: </w:t>
            </w:r>
          </w:p>
        </w:tc>
        <w:tc>
          <w:tcPr>
            <w:tcW w:w="11907" w:type="dxa"/>
            <w:gridSpan w:val="5"/>
          </w:tcPr>
          <w:p w14:paraId="21A6365F" w14:textId="4D47C6C0" w:rsidR="00414678" w:rsidRDefault="00414678" w:rsidP="006E5ECE">
            <w:pPr>
              <w:spacing w:after="120" w:line="480" w:lineRule="auto"/>
            </w:pPr>
            <w:r w:rsidRPr="00C62460">
              <w:t>The target and source molecule</w:t>
            </w:r>
            <w:r w:rsidR="00BB0FB9">
              <w:t>s</w:t>
            </w:r>
            <w:r w:rsidRPr="00C62460">
              <w:t xml:space="preserve"> are highly similar </w:t>
            </w:r>
            <w:r>
              <w:t xml:space="preserve">with regard to the </w:t>
            </w:r>
            <w:r w:rsidR="00541304">
              <w:t>toxicodynamic</w:t>
            </w:r>
            <w:r>
              <w:t xml:space="preserve"> domain. The</w:t>
            </w:r>
            <w:r w:rsidR="00541304">
              <w:t>re is strong evidence that the</w:t>
            </w:r>
            <w:r>
              <w:t xml:space="preserve"> molecules </w:t>
            </w:r>
            <w:r w:rsidR="00E70FCF">
              <w:t xml:space="preserve">share </w:t>
            </w:r>
            <w:r w:rsidR="00541304">
              <w:t xml:space="preserve">a common </w:t>
            </w:r>
            <w:r>
              <w:t xml:space="preserve">mode of action. </w:t>
            </w:r>
          </w:p>
        </w:tc>
      </w:tr>
      <w:tr w:rsidR="00DF5F15" w14:paraId="3C7B23B7" w14:textId="77777777" w:rsidTr="00AF2F0D">
        <w:tc>
          <w:tcPr>
            <w:tcW w:w="13745" w:type="dxa"/>
            <w:gridSpan w:val="6"/>
          </w:tcPr>
          <w:p w14:paraId="06FD3F89" w14:textId="08B04AB8" w:rsidR="00DF5F15" w:rsidRDefault="00DF5F15" w:rsidP="006E5ECE">
            <w:pPr>
              <w:spacing w:after="120" w:line="480" w:lineRule="auto"/>
            </w:pPr>
          </w:p>
        </w:tc>
      </w:tr>
      <w:tr w:rsidR="00DF5F15" w14:paraId="0358F458" w14:textId="77777777" w:rsidTr="00AF2F0D">
        <w:tc>
          <w:tcPr>
            <w:tcW w:w="13745" w:type="dxa"/>
            <w:gridSpan w:val="6"/>
          </w:tcPr>
          <w:p w14:paraId="418E18C4" w14:textId="6E2F186F" w:rsidR="00DF5F15" w:rsidRPr="00E5138E" w:rsidRDefault="00DF5F15" w:rsidP="006E5ECE">
            <w:pPr>
              <w:spacing w:after="120" w:line="480" w:lineRule="auto"/>
              <w:jc w:val="center"/>
              <w:rPr>
                <w:b/>
                <w:bCs/>
              </w:rPr>
            </w:pPr>
            <w:proofErr w:type="spellStart"/>
            <w:r w:rsidRPr="00E5138E">
              <w:rPr>
                <w:b/>
                <w:bCs/>
              </w:rPr>
              <w:t>Toxicokinetics</w:t>
            </w:r>
            <w:proofErr w:type="spellEnd"/>
          </w:p>
        </w:tc>
      </w:tr>
      <w:tr w:rsidR="00DF5F15" w14:paraId="6FA3B93C" w14:textId="77777777" w:rsidTr="00AF2F0D">
        <w:tc>
          <w:tcPr>
            <w:tcW w:w="13745" w:type="dxa"/>
            <w:gridSpan w:val="6"/>
          </w:tcPr>
          <w:p w14:paraId="0E586191" w14:textId="77777777" w:rsidR="00DF5F15" w:rsidRDefault="00DF5F15" w:rsidP="006E5ECE">
            <w:pPr>
              <w:spacing w:after="120" w:line="480" w:lineRule="auto"/>
            </w:pPr>
          </w:p>
        </w:tc>
      </w:tr>
      <w:tr w:rsidR="00DF5F15" w14:paraId="0DA17B34" w14:textId="77777777" w:rsidTr="006E5ECE">
        <w:tc>
          <w:tcPr>
            <w:tcW w:w="1838" w:type="dxa"/>
            <w:vMerge w:val="restart"/>
          </w:tcPr>
          <w:p w14:paraId="77063086" w14:textId="673870F6" w:rsidR="00DF5F15" w:rsidRDefault="00DF5F15" w:rsidP="006E5ECE">
            <w:pPr>
              <w:spacing w:after="120" w:line="480" w:lineRule="auto"/>
            </w:pPr>
            <w:r w:rsidRPr="005B39CD">
              <w:t>Absorption, distribution</w:t>
            </w:r>
            <w:r w:rsidR="008F0A11">
              <w:t>, metabolism</w:t>
            </w:r>
            <w:r w:rsidRPr="005B39CD">
              <w:t xml:space="preserve"> and excretion </w:t>
            </w:r>
          </w:p>
        </w:tc>
        <w:tc>
          <w:tcPr>
            <w:tcW w:w="2693" w:type="dxa"/>
          </w:tcPr>
          <w:p w14:paraId="43807D17" w14:textId="0871D98B" w:rsidR="00DF5F15" w:rsidRDefault="00DF5F15" w:rsidP="006E5ECE">
            <w:pPr>
              <w:spacing w:after="120" w:line="480" w:lineRule="auto"/>
            </w:pPr>
            <w:r>
              <w:t>Absorption</w:t>
            </w:r>
          </w:p>
        </w:tc>
        <w:tc>
          <w:tcPr>
            <w:tcW w:w="1985" w:type="dxa"/>
          </w:tcPr>
          <w:p w14:paraId="334BB14D" w14:textId="6ACED638" w:rsidR="00DF5F15" w:rsidRDefault="00DF5F15" w:rsidP="006E5ECE">
            <w:pPr>
              <w:spacing w:after="120" w:line="480" w:lineRule="auto"/>
            </w:pPr>
            <w:r>
              <w:t>Rapid</w:t>
            </w:r>
          </w:p>
        </w:tc>
        <w:tc>
          <w:tcPr>
            <w:tcW w:w="1559" w:type="dxa"/>
          </w:tcPr>
          <w:p w14:paraId="79DD978F" w14:textId="62F643FF" w:rsidR="00DF5F15" w:rsidRDefault="00DF5F15" w:rsidP="006E5ECE">
            <w:pPr>
              <w:spacing w:after="120" w:line="480" w:lineRule="auto"/>
            </w:pPr>
            <w:r w:rsidRPr="00394B53">
              <w:t>Rapid</w:t>
            </w:r>
          </w:p>
        </w:tc>
        <w:tc>
          <w:tcPr>
            <w:tcW w:w="3119" w:type="dxa"/>
          </w:tcPr>
          <w:p w14:paraId="450C38D1" w14:textId="3556473E" w:rsidR="00DF5F15" w:rsidRDefault="00DF5F15" w:rsidP="006E5ECE">
            <w:pPr>
              <w:spacing w:after="120" w:line="480" w:lineRule="auto"/>
            </w:pPr>
            <w:r w:rsidRPr="005909BD">
              <w:t>No significant difference</w:t>
            </w:r>
          </w:p>
        </w:tc>
        <w:tc>
          <w:tcPr>
            <w:tcW w:w="2551" w:type="dxa"/>
          </w:tcPr>
          <w:p w14:paraId="00EC8B1D" w14:textId="49F7DEBA" w:rsidR="00DF5F15" w:rsidRDefault="00DF5F15" w:rsidP="006E5ECE">
            <w:pPr>
              <w:spacing w:after="120" w:line="480" w:lineRule="auto"/>
            </w:pPr>
            <w:r w:rsidRPr="005909BD">
              <w:t>In domain</w:t>
            </w:r>
          </w:p>
        </w:tc>
      </w:tr>
      <w:tr w:rsidR="008F0A11" w14:paraId="545E1DB1" w14:textId="77777777" w:rsidTr="006E5ECE">
        <w:tc>
          <w:tcPr>
            <w:tcW w:w="1838" w:type="dxa"/>
            <w:vMerge/>
          </w:tcPr>
          <w:p w14:paraId="4580CAE2" w14:textId="77777777" w:rsidR="008F0A11" w:rsidRDefault="008F0A11" w:rsidP="00CF18C5">
            <w:pPr>
              <w:spacing w:after="120" w:line="480" w:lineRule="auto"/>
            </w:pPr>
          </w:p>
        </w:tc>
        <w:tc>
          <w:tcPr>
            <w:tcW w:w="2693" w:type="dxa"/>
          </w:tcPr>
          <w:p w14:paraId="78F41E49" w14:textId="5778B408" w:rsidR="008F0A11" w:rsidRPr="001C5A5F" w:rsidRDefault="008F0A11" w:rsidP="00CF18C5">
            <w:pPr>
              <w:spacing w:after="120" w:line="480" w:lineRule="auto"/>
              <w:rPr>
                <w:color w:val="000000" w:themeColor="text1"/>
              </w:rPr>
            </w:pPr>
            <w:r>
              <w:t>Distribution</w:t>
            </w:r>
          </w:p>
        </w:tc>
        <w:tc>
          <w:tcPr>
            <w:tcW w:w="1985" w:type="dxa"/>
          </w:tcPr>
          <w:p w14:paraId="483ABCB9" w14:textId="4C9F8919" w:rsidR="008F0A11" w:rsidRPr="001C5A5F" w:rsidRDefault="008F0A11" w:rsidP="00CF18C5">
            <w:pPr>
              <w:spacing w:after="120" w:line="480" w:lineRule="auto"/>
              <w:rPr>
                <w:color w:val="000000" w:themeColor="text1"/>
              </w:rPr>
            </w:pPr>
            <w:r>
              <w:t>L</w:t>
            </w:r>
            <w:r w:rsidRPr="009F1F51">
              <w:t>iver, kidneys, gonads, brain, bones</w:t>
            </w:r>
          </w:p>
        </w:tc>
        <w:tc>
          <w:tcPr>
            <w:tcW w:w="1559" w:type="dxa"/>
          </w:tcPr>
          <w:p w14:paraId="1066D5C2" w14:textId="1F5B5708" w:rsidR="008F0A11" w:rsidRPr="001C5A5F" w:rsidRDefault="008F0A11" w:rsidP="00CF18C5">
            <w:pPr>
              <w:spacing w:after="120" w:line="480" w:lineRule="auto"/>
              <w:rPr>
                <w:color w:val="000000" w:themeColor="text1"/>
              </w:rPr>
            </w:pPr>
            <w:r>
              <w:t>K</w:t>
            </w:r>
            <w:r w:rsidRPr="001E2A19">
              <w:t>idney, liver and pancreas</w:t>
            </w:r>
          </w:p>
        </w:tc>
        <w:tc>
          <w:tcPr>
            <w:tcW w:w="3119" w:type="dxa"/>
          </w:tcPr>
          <w:p w14:paraId="54233111" w14:textId="0E26844F" w:rsidR="008F0A11" w:rsidRPr="001C5A5F" w:rsidRDefault="008F0A11" w:rsidP="00CF18C5">
            <w:pPr>
              <w:spacing w:after="120" w:line="480" w:lineRule="auto"/>
              <w:rPr>
                <w:color w:val="000000" w:themeColor="text1"/>
              </w:rPr>
            </w:pPr>
            <w:r>
              <w:t>Source compound not distributed as widely a target although high concentrations observed in the liver</w:t>
            </w:r>
          </w:p>
        </w:tc>
        <w:tc>
          <w:tcPr>
            <w:tcW w:w="2551" w:type="dxa"/>
          </w:tcPr>
          <w:p w14:paraId="651E3EDA" w14:textId="76AE793A" w:rsidR="008F0A11" w:rsidRPr="001C5A5F" w:rsidRDefault="008F0A11" w:rsidP="00CF18C5">
            <w:pPr>
              <w:spacing w:after="120" w:line="480" w:lineRule="auto"/>
              <w:rPr>
                <w:color w:val="000000" w:themeColor="text1"/>
              </w:rPr>
            </w:pPr>
            <w:r>
              <w:t>In domain</w:t>
            </w:r>
          </w:p>
        </w:tc>
      </w:tr>
      <w:tr w:rsidR="008F0A11" w14:paraId="3F5DB8F9" w14:textId="77777777" w:rsidTr="006E5ECE">
        <w:tc>
          <w:tcPr>
            <w:tcW w:w="1838" w:type="dxa"/>
            <w:vMerge/>
          </w:tcPr>
          <w:p w14:paraId="13EE7E7B" w14:textId="77777777" w:rsidR="008F0A11" w:rsidRDefault="008F0A11" w:rsidP="00CF18C5">
            <w:pPr>
              <w:spacing w:after="120" w:line="480" w:lineRule="auto"/>
            </w:pPr>
          </w:p>
        </w:tc>
        <w:tc>
          <w:tcPr>
            <w:tcW w:w="2693" w:type="dxa"/>
          </w:tcPr>
          <w:p w14:paraId="3F76ECF5" w14:textId="7379F605" w:rsidR="008F0A11" w:rsidRPr="001C5A5F" w:rsidRDefault="008F0A11" w:rsidP="00CF18C5">
            <w:pPr>
              <w:spacing w:after="120" w:line="480" w:lineRule="auto"/>
              <w:rPr>
                <w:color w:val="000000" w:themeColor="text1"/>
              </w:rPr>
            </w:pPr>
            <w:r w:rsidRPr="001C5A5F">
              <w:rPr>
                <w:color w:val="000000" w:themeColor="text1"/>
              </w:rPr>
              <w:t>Metabolism</w:t>
            </w:r>
          </w:p>
        </w:tc>
        <w:tc>
          <w:tcPr>
            <w:tcW w:w="1985" w:type="dxa"/>
          </w:tcPr>
          <w:p w14:paraId="506D364A" w14:textId="07F057E5" w:rsidR="008F0A11" w:rsidRPr="001C5A5F" w:rsidRDefault="008F0A11" w:rsidP="00CF18C5">
            <w:pPr>
              <w:spacing w:after="120" w:line="480" w:lineRule="auto"/>
              <w:rPr>
                <w:color w:val="000000" w:themeColor="text1"/>
              </w:rPr>
            </w:pPr>
            <w:r w:rsidRPr="001C5A5F">
              <w:rPr>
                <w:color w:val="000000" w:themeColor="text1"/>
              </w:rPr>
              <w:t>Extensive</w:t>
            </w:r>
          </w:p>
        </w:tc>
        <w:tc>
          <w:tcPr>
            <w:tcW w:w="1559" w:type="dxa"/>
          </w:tcPr>
          <w:p w14:paraId="08C89312" w14:textId="5E657F6A" w:rsidR="008F0A11" w:rsidRPr="001C5A5F" w:rsidRDefault="008F0A11" w:rsidP="00CF18C5">
            <w:pPr>
              <w:spacing w:after="120" w:line="480" w:lineRule="auto"/>
              <w:rPr>
                <w:color w:val="000000" w:themeColor="text1"/>
              </w:rPr>
            </w:pPr>
            <w:r w:rsidRPr="001C5A5F">
              <w:rPr>
                <w:color w:val="000000" w:themeColor="text1"/>
              </w:rPr>
              <w:t>Extensive</w:t>
            </w:r>
          </w:p>
        </w:tc>
        <w:tc>
          <w:tcPr>
            <w:tcW w:w="3119" w:type="dxa"/>
          </w:tcPr>
          <w:p w14:paraId="11BED962" w14:textId="4528712B" w:rsidR="008F0A11" w:rsidRPr="001C5A5F" w:rsidRDefault="008F0A11" w:rsidP="00CF18C5">
            <w:pPr>
              <w:spacing w:after="120" w:line="480" w:lineRule="auto"/>
              <w:rPr>
                <w:color w:val="000000" w:themeColor="text1"/>
              </w:rPr>
            </w:pPr>
            <w:r w:rsidRPr="001C5A5F">
              <w:rPr>
                <w:color w:val="000000" w:themeColor="text1"/>
              </w:rPr>
              <w:t>No significant difference</w:t>
            </w:r>
          </w:p>
        </w:tc>
        <w:tc>
          <w:tcPr>
            <w:tcW w:w="2551" w:type="dxa"/>
          </w:tcPr>
          <w:p w14:paraId="61A62EC9" w14:textId="3B8A522B" w:rsidR="008F0A11" w:rsidRPr="001C5A5F" w:rsidRDefault="008F0A11" w:rsidP="00CF18C5">
            <w:pPr>
              <w:spacing w:after="120" w:line="480" w:lineRule="auto"/>
              <w:rPr>
                <w:color w:val="000000" w:themeColor="text1"/>
              </w:rPr>
            </w:pPr>
            <w:r w:rsidRPr="001C5A5F">
              <w:rPr>
                <w:color w:val="000000" w:themeColor="text1"/>
              </w:rPr>
              <w:t>In domain</w:t>
            </w:r>
          </w:p>
        </w:tc>
      </w:tr>
      <w:tr w:rsidR="008F0A11" w14:paraId="1A711176" w14:textId="77777777" w:rsidTr="006E5ECE">
        <w:tc>
          <w:tcPr>
            <w:tcW w:w="1838" w:type="dxa"/>
            <w:vMerge/>
          </w:tcPr>
          <w:p w14:paraId="3B21CC8B" w14:textId="77777777" w:rsidR="008F0A11" w:rsidRDefault="008F0A11" w:rsidP="00CF18C5">
            <w:pPr>
              <w:spacing w:after="120" w:line="480" w:lineRule="auto"/>
            </w:pPr>
          </w:p>
        </w:tc>
        <w:tc>
          <w:tcPr>
            <w:tcW w:w="2693" w:type="dxa"/>
          </w:tcPr>
          <w:p w14:paraId="1AB0CE89" w14:textId="72CA7526" w:rsidR="008F0A11" w:rsidRDefault="008F0A11" w:rsidP="00CF18C5">
            <w:pPr>
              <w:spacing w:after="120" w:line="480" w:lineRule="auto"/>
            </w:pPr>
            <w:r>
              <w:t>Half-life (hours)</w:t>
            </w:r>
          </w:p>
        </w:tc>
        <w:tc>
          <w:tcPr>
            <w:tcW w:w="1985" w:type="dxa"/>
          </w:tcPr>
          <w:p w14:paraId="0BF00FAD" w14:textId="202978AF" w:rsidR="008F0A11" w:rsidRDefault="008F0A11" w:rsidP="00CF18C5">
            <w:pPr>
              <w:spacing w:after="120" w:line="480" w:lineRule="auto"/>
            </w:pPr>
            <w:r w:rsidRPr="009F1F51">
              <w:t>&lt; 24</w:t>
            </w:r>
          </w:p>
        </w:tc>
        <w:tc>
          <w:tcPr>
            <w:tcW w:w="1559" w:type="dxa"/>
          </w:tcPr>
          <w:p w14:paraId="13961247" w14:textId="67D8F4C4" w:rsidR="008F0A11" w:rsidRDefault="008F0A11" w:rsidP="00CF18C5">
            <w:pPr>
              <w:spacing w:after="120" w:line="480" w:lineRule="auto"/>
            </w:pPr>
            <w:r w:rsidRPr="00A73C98">
              <w:t>10 – 27</w:t>
            </w:r>
          </w:p>
        </w:tc>
        <w:tc>
          <w:tcPr>
            <w:tcW w:w="3119" w:type="dxa"/>
          </w:tcPr>
          <w:p w14:paraId="7F47EAA2" w14:textId="000FD10E" w:rsidR="008F0A11" w:rsidRDefault="008F0A11" w:rsidP="00CF18C5">
            <w:pPr>
              <w:spacing w:after="120" w:line="480" w:lineRule="auto"/>
            </w:pPr>
            <w:r>
              <w:t xml:space="preserve">Half-life is short, but potentially longer in source molecule, unlikely to significantly affect toxicity </w:t>
            </w:r>
          </w:p>
        </w:tc>
        <w:tc>
          <w:tcPr>
            <w:tcW w:w="2551" w:type="dxa"/>
          </w:tcPr>
          <w:p w14:paraId="05013594" w14:textId="735F4B98" w:rsidR="008F0A11" w:rsidRDefault="008F0A11" w:rsidP="00CF18C5">
            <w:pPr>
              <w:spacing w:after="120" w:line="480" w:lineRule="auto"/>
            </w:pPr>
            <w:r>
              <w:t>In domain</w:t>
            </w:r>
          </w:p>
        </w:tc>
      </w:tr>
      <w:tr w:rsidR="008F0A11" w14:paraId="12E4D556" w14:textId="77777777" w:rsidTr="006E5ECE">
        <w:tc>
          <w:tcPr>
            <w:tcW w:w="1838" w:type="dxa"/>
            <w:vMerge/>
          </w:tcPr>
          <w:p w14:paraId="3DAC3E18" w14:textId="77777777" w:rsidR="008F0A11" w:rsidRDefault="008F0A11" w:rsidP="00CF18C5">
            <w:pPr>
              <w:spacing w:after="120" w:line="480" w:lineRule="auto"/>
            </w:pPr>
          </w:p>
        </w:tc>
        <w:tc>
          <w:tcPr>
            <w:tcW w:w="2693" w:type="dxa"/>
          </w:tcPr>
          <w:p w14:paraId="13D6FA36" w14:textId="09B9EB22" w:rsidR="008F0A11" w:rsidRDefault="008F0A11" w:rsidP="00CF18C5">
            <w:pPr>
              <w:spacing w:after="120" w:line="480" w:lineRule="auto"/>
            </w:pPr>
            <w:r>
              <w:t>PBPK (liver maximum plasma concentration (</w:t>
            </w:r>
            <w:proofErr w:type="spellStart"/>
            <w:r>
              <w:t>Cmax</w:t>
            </w:r>
            <w:proofErr w:type="spellEnd"/>
            <w:r>
              <w:t>)) (</w:t>
            </w:r>
            <w:r w:rsidRPr="00533AE4">
              <w:t>ng/mL</w:t>
            </w:r>
            <w:r>
              <w:t>)</w:t>
            </w:r>
          </w:p>
        </w:tc>
        <w:tc>
          <w:tcPr>
            <w:tcW w:w="1985" w:type="dxa"/>
          </w:tcPr>
          <w:p w14:paraId="394994C7" w14:textId="5E71865E" w:rsidR="008F0A11" w:rsidRDefault="008F0A11" w:rsidP="00CF18C5">
            <w:pPr>
              <w:spacing w:after="120" w:line="480" w:lineRule="auto"/>
            </w:pPr>
            <w:r>
              <w:t>37.1</w:t>
            </w:r>
          </w:p>
        </w:tc>
        <w:tc>
          <w:tcPr>
            <w:tcW w:w="1559" w:type="dxa"/>
          </w:tcPr>
          <w:p w14:paraId="56DD61BF" w14:textId="0E8BC4B3" w:rsidR="008F0A11" w:rsidRDefault="008F0A11" w:rsidP="00CF18C5">
            <w:pPr>
              <w:spacing w:after="120" w:line="480" w:lineRule="auto"/>
            </w:pPr>
            <w:r>
              <w:t>31.2</w:t>
            </w:r>
          </w:p>
        </w:tc>
        <w:tc>
          <w:tcPr>
            <w:tcW w:w="3119" w:type="dxa"/>
          </w:tcPr>
          <w:p w14:paraId="05FBB2DC" w14:textId="3E2BA3FE" w:rsidR="008F0A11" w:rsidRDefault="008F0A11" w:rsidP="00CF18C5">
            <w:pPr>
              <w:spacing w:after="120" w:line="480" w:lineRule="auto"/>
            </w:pPr>
            <w:r>
              <w:t>Similar maximal concentrations in the liver</w:t>
            </w:r>
          </w:p>
        </w:tc>
        <w:tc>
          <w:tcPr>
            <w:tcW w:w="2551" w:type="dxa"/>
          </w:tcPr>
          <w:p w14:paraId="24094690" w14:textId="4F49C979" w:rsidR="008F0A11" w:rsidRDefault="008F0A11" w:rsidP="00CF18C5">
            <w:pPr>
              <w:spacing w:after="120" w:line="480" w:lineRule="auto"/>
            </w:pPr>
            <w:r>
              <w:t>In domain</w:t>
            </w:r>
          </w:p>
        </w:tc>
      </w:tr>
      <w:tr w:rsidR="008F0A11" w14:paraId="7CD2ABC1" w14:textId="77777777" w:rsidTr="006E5ECE">
        <w:tc>
          <w:tcPr>
            <w:tcW w:w="1838" w:type="dxa"/>
            <w:vMerge/>
          </w:tcPr>
          <w:p w14:paraId="60B37BA6" w14:textId="77777777" w:rsidR="008F0A11" w:rsidRDefault="008F0A11" w:rsidP="00CF18C5">
            <w:pPr>
              <w:spacing w:after="120" w:line="480" w:lineRule="auto"/>
            </w:pPr>
          </w:p>
        </w:tc>
        <w:tc>
          <w:tcPr>
            <w:tcW w:w="2693" w:type="dxa"/>
          </w:tcPr>
          <w:p w14:paraId="609B8192" w14:textId="2BFC1934" w:rsidR="008F0A11" w:rsidRDefault="008F0A11" w:rsidP="00CF18C5">
            <w:pPr>
              <w:spacing w:after="120" w:line="480" w:lineRule="auto"/>
            </w:pPr>
            <w:r>
              <w:t>PBPK (Steady-state plasma concentration (</w:t>
            </w:r>
            <w:proofErr w:type="spellStart"/>
            <w:r>
              <w:t>Css</w:t>
            </w:r>
            <w:proofErr w:type="spellEnd"/>
            <w:r>
              <w:t>)) (</w:t>
            </w:r>
            <w:proofErr w:type="spellStart"/>
            <w:r>
              <w:rPr>
                <w:rFonts w:cstheme="minorHAnsi"/>
              </w:rPr>
              <w:t>μ</w:t>
            </w:r>
            <w:r>
              <w:t>M</w:t>
            </w:r>
            <w:proofErr w:type="spellEnd"/>
            <w:r>
              <w:t>)</w:t>
            </w:r>
          </w:p>
        </w:tc>
        <w:tc>
          <w:tcPr>
            <w:tcW w:w="1985" w:type="dxa"/>
          </w:tcPr>
          <w:p w14:paraId="48C697F4" w14:textId="09D4AC32" w:rsidR="008F0A11" w:rsidRDefault="008F0A11" w:rsidP="00CF18C5">
            <w:pPr>
              <w:spacing w:after="120" w:line="480" w:lineRule="auto"/>
            </w:pPr>
            <w:r>
              <w:t>50.1</w:t>
            </w:r>
          </w:p>
        </w:tc>
        <w:tc>
          <w:tcPr>
            <w:tcW w:w="1559" w:type="dxa"/>
          </w:tcPr>
          <w:p w14:paraId="05C04449" w14:textId="6E862860" w:rsidR="008F0A11" w:rsidRDefault="008F0A11" w:rsidP="00CF18C5">
            <w:pPr>
              <w:spacing w:after="120" w:line="480" w:lineRule="auto"/>
            </w:pPr>
            <w:r>
              <w:t>1.43</w:t>
            </w:r>
          </w:p>
        </w:tc>
        <w:tc>
          <w:tcPr>
            <w:tcW w:w="3119" w:type="dxa"/>
          </w:tcPr>
          <w:p w14:paraId="3C08536D" w14:textId="41BC4272" w:rsidR="008F0A11" w:rsidRDefault="008F0A11" w:rsidP="00CF18C5">
            <w:pPr>
              <w:spacing w:after="120" w:line="480" w:lineRule="auto"/>
            </w:pPr>
            <w:r>
              <w:t xml:space="preserve">A large difference in </w:t>
            </w:r>
            <w:proofErr w:type="spellStart"/>
            <w:r>
              <w:t>Css</w:t>
            </w:r>
            <w:proofErr w:type="spellEnd"/>
            <w:r>
              <w:t xml:space="preserve"> is observed. </w:t>
            </w:r>
            <w:proofErr w:type="spellStart"/>
            <w:r>
              <w:t>Css</w:t>
            </w:r>
            <w:proofErr w:type="spellEnd"/>
            <w:r>
              <w:t xml:space="preserve"> is calculated to be significantly higher in the target molecule</w:t>
            </w:r>
          </w:p>
        </w:tc>
        <w:tc>
          <w:tcPr>
            <w:tcW w:w="2551" w:type="dxa"/>
          </w:tcPr>
          <w:p w14:paraId="26754B33" w14:textId="6C61AB85" w:rsidR="008F0A11" w:rsidRDefault="008F0A11" w:rsidP="00CF18C5">
            <w:pPr>
              <w:spacing w:after="120" w:line="480" w:lineRule="auto"/>
            </w:pPr>
            <w:r>
              <w:t>Low confidence of being in domain, further information required</w:t>
            </w:r>
          </w:p>
        </w:tc>
      </w:tr>
      <w:tr w:rsidR="008F0A11" w14:paraId="263BC0C0" w14:textId="77777777" w:rsidTr="006E5ECE">
        <w:tc>
          <w:tcPr>
            <w:tcW w:w="1838" w:type="dxa"/>
          </w:tcPr>
          <w:p w14:paraId="70013D5C" w14:textId="3F4DB322" w:rsidR="008F0A11" w:rsidRDefault="008F0A11" w:rsidP="006E5ECE">
            <w:pPr>
              <w:spacing w:after="120" w:line="480" w:lineRule="auto"/>
            </w:pPr>
            <w:r>
              <w:rPr>
                <w:color w:val="000000" w:themeColor="text1"/>
              </w:rPr>
              <w:t>Metabolite formation</w:t>
            </w:r>
          </w:p>
        </w:tc>
        <w:tc>
          <w:tcPr>
            <w:tcW w:w="2693" w:type="dxa"/>
          </w:tcPr>
          <w:p w14:paraId="7A9BEC2D" w14:textId="77777777" w:rsidR="008F0A11" w:rsidRDefault="008F0A11" w:rsidP="006E5ECE">
            <w:pPr>
              <w:spacing w:after="120" w:line="480" w:lineRule="auto"/>
            </w:pPr>
            <w:r>
              <w:t>Major and significant metabolites</w:t>
            </w:r>
          </w:p>
        </w:tc>
        <w:tc>
          <w:tcPr>
            <w:tcW w:w="1985" w:type="dxa"/>
          </w:tcPr>
          <w:p w14:paraId="4AC080FE" w14:textId="4E5DCF0B" w:rsidR="008F0A11" w:rsidRPr="001B0416" w:rsidRDefault="008F0A11" w:rsidP="006E5ECE">
            <w:pPr>
              <w:spacing w:after="120" w:line="480" w:lineRule="auto"/>
              <w:rPr>
                <w:highlight w:val="red"/>
              </w:rPr>
            </w:pPr>
            <w:r w:rsidRPr="007839A0">
              <w:t>1,2,4‐triazole</w:t>
            </w:r>
            <w:r>
              <w:t xml:space="preserve">; </w:t>
            </w:r>
            <w:r w:rsidRPr="007839A0">
              <w:t>triazole alanine;</w:t>
            </w:r>
            <w:r>
              <w:t xml:space="preserve"> </w:t>
            </w:r>
            <w:r w:rsidRPr="007839A0">
              <w:t>triazole acetic acid</w:t>
            </w:r>
          </w:p>
        </w:tc>
        <w:tc>
          <w:tcPr>
            <w:tcW w:w="1559" w:type="dxa"/>
          </w:tcPr>
          <w:p w14:paraId="562179D9" w14:textId="5BDA843A" w:rsidR="008F0A11" w:rsidRPr="001B0416" w:rsidRDefault="008F0A11" w:rsidP="006E5ECE">
            <w:pPr>
              <w:spacing w:after="120" w:line="480" w:lineRule="auto"/>
              <w:rPr>
                <w:highlight w:val="red"/>
              </w:rPr>
            </w:pPr>
            <w:r w:rsidRPr="007839A0">
              <w:t>1,2,4‐triazole</w:t>
            </w:r>
            <w:r>
              <w:t xml:space="preserve">; </w:t>
            </w:r>
            <w:r w:rsidRPr="007839A0">
              <w:t>triazole alanine;</w:t>
            </w:r>
            <w:r>
              <w:t xml:space="preserve"> </w:t>
            </w:r>
            <w:r w:rsidRPr="007839A0">
              <w:t>triazole acetic acid</w:t>
            </w:r>
          </w:p>
        </w:tc>
        <w:tc>
          <w:tcPr>
            <w:tcW w:w="3119" w:type="dxa"/>
          </w:tcPr>
          <w:p w14:paraId="5D4C510C" w14:textId="5E1C0E47" w:rsidR="008F0A11" w:rsidRPr="00B8023C" w:rsidRDefault="008F0A11" w:rsidP="006E5ECE">
            <w:pPr>
              <w:spacing w:after="120" w:line="480" w:lineRule="auto"/>
              <w:rPr>
                <w:color w:val="000000" w:themeColor="text1"/>
              </w:rPr>
            </w:pPr>
            <w:r w:rsidRPr="00B8023C">
              <w:rPr>
                <w:color w:val="000000" w:themeColor="text1"/>
              </w:rPr>
              <w:t>No significant difference in major and</w:t>
            </w:r>
            <w:r>
              <w:rPr>
                <w:color w:val="000000" w:themeColor="text1"/>
              </w:rPr>
              <w:t xml:space="preserve"> defining </w:t>
            </w:r>
            <w:r w:rsidRPr="00B8023C">
              <w:rPr>
                <w:color w:val="000000" w:themeColor="text1"/>
              </w:rPr>
              <w:t>metabolites</w:t>
            </w:r>
          </w:p>
        </w:tc>
        <w:tc>
          <w:tcPr>
            <w:tcW w:w="2551" w:type="dxa"/>
          </w:tcPr>
          <w:p w14:paraId="53CE23AF" w14:textId="77777777" w:rsidR="008F0A11" w:rsidRDefault="008F0A11" w:rsidP="006E5ECE">
            <w:pPr>
              <w:spacing w:after="120" w:line="480" w:lineRule="auto"/>
            </w:pPr>
            <w:r w:rsidRPr="00AC1530">
              <w:t>In domain</w:t>
            </w:r>
          </w:p>
        </w:tc>
      </w:tr>
      <w:tr w:rsidR="008F0A11" w14:paraId="44D2E1A3" w14:textId="77777777" w:rsidTr="00F82F4C">
        <w:tc>
          <w:tcPr>
            <w:tcW w:w="1838" w:type="dxa"/>
          </w:tcPr>
          <w:p w14:paraId="2A19530C" w14:textId="5736058F" w:rsidR="008F0A11" w:rsidRDefault="008F0A11" w:rsidP="006E5ECE">
            <w:pPr>
              <w:spacing w:after="120" w:line="480" w:lineRule="auto"/>
            </w:pPr>
            <w:r w:rsidRPr="00C62460">
              <w:t>Conclusion and Justification</w:t>
            </w:r>
            <w:r>
              <w:t xml:space="preserve"> (</w:t>
            </w:r>
            <w:proofErr w:type="spellStart"/>
            <w:r>
              <w:t>Toxicokinetics</w:t>
            </w:r>
            <w:proofErr w:type="spellEnd"/>
            <w:r>
              <w:t xml:space="preserve"> Domain)</w:t>
            </w:r>
            <w:r w:rsidRPr="00C62460">
              <w:t xml:space="preserve">: </w:t>
            </w:r>
          </w:p>
        </w:tc>
        <w:tc>
          <w:tcPr>
            <w:tcW w:w="11907" w:type="dxa"/>
            <w:gridSpan w:val="5"/>
          </w:tcPr>
          <w:p w14:paraId="2893AFFA" w14:textId="28E5C7B9" w:rsidR="008F0A11" w:rsidRDefault="008F0A11" w:rsidP="006E5ECE">
            <w:pPr>
              <w:spacing w:after="120" w:line="480" w:lineRule="auto"/>
            </w:pPr>
            <w:r w:rsidRPr="00C62460">
              <w:t>The target and source molecule</w:t>
            </w:r>
            <w:r>
              <w:t>s</w:t>
            </w:r>
            <w:r w:rsidRPr="00C62460">
              <w:t xml:space="preserve"> are highly similar </w:t>
            </w:r>
            <w:r>
              <w:t xml:space="preserve">with regard to the </w:t>
            </w:r>
            <w:proofErr w:type="spellStart"/>
            <w:r>
              <w:t>toxicokinetics</w:t>
            </w:r>
            <w:proofErr w:type="spellEnd"/>
            <w:r>
              <w:t xml:space="preserve"> domain. There is strong evidence that the molecules have similar absorption, distribution and excretion properties and no difference in major and significant metabolites</w:t>
            </w:r>
            <w:r w:rsidR="009D55B2">
              <w:t xml:space="preserve"> although the effect of higher </w:t>
            </w:r>
            <w:proofErr w:type="spellStart"/>
            <w:r w:rsidR="009D55B2">
              <w:t>Css</w:t>
            </w:r>
            <w:proofErr w:type="spellEnd"/>
            <w:r w:rsidR="009D55B2">
              <w:t xml:space="preserve"> i</w:t>
            </w:r>
            <w:r w:rsidR="009A2657">
              <w:t xml:space="preserve">n the target should be acknowledged (although no significant differences were </w:t>
            </w:r>
            <w:r w:rsidR="002B6062">
              <w:t>observed in the liver)</w:t>
            </w:r>
            <w:r>
              <w:t xml:space="preserve">. </w:t>
            </w:r>
          </w:p>
        </w:tc>
      </w:tr>
      <w:tr w:rsidR="008F0A11" w14:paraId="4394F17E" w14:textId="77777777" w:rsidTr="00F82F4C">
        <w:tc>
          <w:tcPr>
            <w:tcW w:w="1838" w:type="dxa"/>
          </w:tcPr>
          <w:p w14:paraId="4D20A8C4" w14:textId="77777777" w:rsidR="008F0A11" w:rsidRPr="00C62460" w:rsidRDefault="008F0A11" w:rsidP="006E5ECE">
            <w:pPr>
              <w:spacing w:after="120" w:line="480" w:lineRule="auto"/>
            </w:pPr>
          </w:p>
        </w:tc>
        <w:tc>
          <w:tcPr>
            <w:tcW w:w="11907" w:type="dxa"/>
            <w:gridSpan w:val="5"/>
          </w:tcPr>
          <w:p w14:paraId="78F7556B" w14:textId="77777777" w:rsidR="008F0A11" w:rsidRPr="00C62460" w:rsidRDefault="008F0A11" w:rsidP="006E5ECE">
            <w:pPr>
              <w:spacing w:after="120" w:line="480" w:lineRule="auto"/>
            </w:pPr>
          </w:p>
        </w:tc>
      </w:tr>
      <w:tr w:rsidR="008F0A11" w14:paraId="7C8CA1A1" w14:textId="77777777" w:rsidTr="00F82F4C">
        <w:tc>
          <w:tcPr>
            <w:tcW w:w="1838" w:type="dxa"/>
          </w:tcPr>
          <w:p w14:paraId="50757A0A" w14:textId="01F83905" w:rsidR="008F0A11" w:rsidRPr="00C62460" w:rsidRDefault="008F0A11" w:rsidP="006E5ECE">
            <w:pPr>
              <w:spacing w:after="120" w:line="480" w:lineRule="auto"/>
            </w:pPr>
            <w:r>
              <w:t xml:space="preserve">Overall </w:t>
            </w:r>
            <w:r w:rsidRPr="00C62460">
              <w:t>Conclusion and Justification:</w:t>
            </w:r>
          </w:p>
        </w:tc>
        <w:tc>
          <w:tcPr>
            <w:tcW w:w="11907" w:type="dxa"/>
            <w:gridSpan w:val="5"/>
          </w:tcPr>
          <w:p w14:paraId="45D7A2C8" w14:textId="4B902675" w:rsidR="008F0A11" w:rsidRPr="00C62460" w:rsidRDefault="008F0A11" w:rsidP="006E5ECE">
            <w:pPr>
              <w:spacing w:after="120" w:line="480" w:lineRule="auto"/>
            </w:pPr>
            <w:r w:rsidRPr="00C62460">
              <w:t>The</w:t>
            </w:r>
            <w:r>
              <w:t>re is strong evidence that</w:t>
            </w:r>
            <w:r w:rsidRPr="00C62460">
              <w:t xml:space="preserve"> target and source</w:t>
            </w:r>
            <w:r>
              <w:t xml:space="preserve"> the</w:t>
            </w:r>
            <w:r w:rsidRPr="00C62460">
              <w:t xml:space="preserve"> molecule</w:t>
            </w:r>
            <w:r>
              <w:t>s</w:t>
            </w:r>
            <w:r w:rsidRPr="00C62460">
              <w:t xml:space="preserve"> are highly similar </w:t>
            </w:r>
            <w:r>
              <w:t>with regard to the read-across domain indicating low uncertainty with regard to their similarity.</w:t>
            </w:r>
          </w:p>
        </w:tc>
      </w:tr>
      <w:bookmarkEnd w:id="5"/>
    </w:tbl>
    <w:p w14:paraId="64310FB2" w14:textId="57BDF899" w:rsidR="00863DA1" w:rsidRDefault="00863DA1" w:rsidP="00CF18C5">
      <w:pPr>
        <w:spacing w:after="120" w:line="480" w:lineRule="auto"/>
      </w:pPr>
      <w:r>
        <w:br w:type="page"/>
      </w:r>
    </w:p>
    <w:p w14:paraId="330E11B7" w14:textId="6C99D298" w:rsidR="00863DA1" w:rsidRDefault="00863DA1" w:rsidP="00CF18C5">
      <w:pPr>
        <w:spacing w:after="120" w:line="480" w:lineRule="auto"/>
        <w:sectPr w:rsidR="00863DA1" w:rsidSect="00B640AC">
          <w:type w:val="nextColumn"/>
          <w:pgSz w:w="16838" w:h="11906" w:orient="landscape"/>
          <w:pgMar w:top="1440" w:right="1440" w:bottom="1440" w:left="1440" w:header="709" w:footer="709" w:gutter="0"/>
          <w:lnNumType w:countBy="1" w:restart="continuous"/>
          <w:cols w:space="708"/>
          <w:docGrid w:linePitch="360"/>
        </w:sectPr>
      </w:pPr>
    </w:p>
    <w:p w14:paraId="1F11F53A" w14:textId="0E661B94" w:rsidR="002154CB" w:rsidRPr="002154CB" w:rsidRDefault="00056CBF" w:rsidP="00CF18C5">
      <w:pPr>
        <w:spacing w:after="120" w:line="480" w:lineRule="auto"/>
        <w:rPr>
          <w:i/>
          <w:iCs/>
        </w:rPr>
      </w:pPr>
      <w:r>
        <w:rPr>
          <w:i/>
          <w:iCs/>
        </w:rPr>
        <w:t xml:space="preserve">3.2 </w:t>
      </w:r>
      <w:r w:rsidR="002154CB">
        <w:rPr>
          <w:i/>
          <w:iCs/>
        </w:rPr>
        <w:t>The example of the category approach</w:t>
      </w:r>
    </w:p>
    <w:p w14:paraId="0F15A147" w14:textId="4C4CE738" w:rsidR="008204A5" w:rsidRDefault="00F25E90" w:rsidP="00CF18C5">
      <w:pPr>
        <w:spacing w:after="120" w:line="480" w:lineRule="auto"/>
        <w:jc w:val="both"/>
      </w:pPr>
      <w:r>
        <w:t xml:space="preserve">The same principles to define the domain of an analogue can be applied </w:t>
      </w:r>
      <w:r w:rsidR="00B92183">
        <w:t xml:space="preserve">to groups or categories of molecules that can be used for read-across. </w:t>
      </w:r>
      <w:r w:rsidR="005E713B">
        <w:t xml:space="preserve">For a category, rather than there being a direct comparison of the </w:t>
      </w:r>
      <w:r w:rsidR="00F64327">
        <w:t xml:space="preserve">information for two molecules, the </w:t>
      </w:r>
      <w:r w:rsidR="000202A1">
        <w:t>ranges of descriptors (if continuous variables)</w:t>
      </w:r>
      <w:r w:rsidR="00BB0C9C">
        <w:t>,</w:t>
      </w:r>
      <w:r w:rsidR="000202A1">
        <w:t xml:space="preserve"> or </w:t>
      </w:r>
      <w:r w:rsidR="00F10D39">
        <w:t xml:space="preserve">the </w:t>
      </w:r>
      <w:r w:rsidR="000202A1">
        <w:t xml:space="preserve">presence or absence of </w:t>
      </w:r>
      <w:r w:rsidR="00866637">
        <w:t xml:space="preserve">specific properties or molecular features (if </w:t>
      </w:r>
      <w:r w:rsidR="00C24ED0">
        <w:t>categorical variables)</w:t>
      </w:r>
      <w:r w:rsidR="00BB0C9C">
        <w:t>, can be utilised</w:t>
      </w:r>
      <w:r w:rsidR="00C24ED0">
        <w:t xml:space="preserve">. </w:t>
      </w:r>
      <w:r w:rsidR="0071188B">
        <w:t>Table 6 provides a summary of domain</w:t>
      </w:r>
      <w:r w:rsidR="00C366B9">
        <w:t>,</w:t>
      </w:r>
      <w:r w:rsidR="0071188B">
        <w:t xml:space="preserve"> indicating that the </w:t>
      </w:r>
      <w:r w:rsidR="00F739A0">
        <w:t xml:space="preserve">target </w:t>
      </w:r>
      <w:r w:rsidR="0071188B">
        <w:t>molecule falls within the domain of the azole category</w:t>
      </w:r>
      <w:r w:rsidR="00F739A0">
        <w:t xml:space="preserve"> and hence would be a good source of information for read-across</w:t>
      </w:r>
      <w:r w:rsidR="00461997">
        <w:t xml:space="preserve"> (the full data </w:t>
      </w:r>
      <w:r w:rsidR="008F0A11">
        <w:t>for</w:t>
      </w:r>
      <w:r w:rsidR="00461997">
        <w:t xml:space="preserve"> the ranges for all compounds are provided in </w:t>
      </w:r>
      <w:r w:rsidR="00461997" w:rsidRPr="003A76D5">
        <w:t>Supplementary Information Table S1</w:t>
      </w:r>
      <w:r w:rsidR="00461997">
        <w:t>)</w:t>
      </w:r>
      <w:r w:rsidR="00F739A0">
        <w:t xml:space="preserve">. The </w:t>
      </w:r>
      <w:r w:rsidR="007D4B45">
        <w:t>ranges and properties that</w:t>
      </w:r>
      <w:r w:rsidR="00FD6414">
        <w:t xml:space="preserve"> comprise</w:t>
      </w:r>
      <w:r w:rsidR="007D4B45">
        <w:t xml:space="preserve"> the imidazole domain are more diverse, </w:t>
      </w:r>
      <w:r w:rsidR="00FD6414">
        <w:t>indicating</w:t>
      </w:r>
      <w:r w:rsidR="007D4B45">
        <w:t xml:space="preserve"> a broader </w:t>
      </w:r>
      <w:r w:rsidR="007D4B45" w:rsidRPr="00B8023C">
        <w:rPr>
          <w:color w:val="000000" w:themeColor="text1"/>
        </w:rPr>
        <w:t xml:space="preserve">domain </w:t>
      </w:r>
      <w:r w:rsidR="007D4B45">
        <w:t>for this category</w:t>
      </w:r>
      <w:r w:rsidR="00FD6414">
        <w:t>.</w:t>
      </w:r>
      <w:r w:rsidR="007D4B45">
        <w:t xml:space="preserve"> </w:t>
      </w:r>
      <w:r w:rsidR="00FD6414">
        <w:t>Th</w:t>
      </w:r>
      <w:r w:rsidR="00E35095">
        <w:t xml:space="preserve">e breadth and diversity of a category, as defined by the domain, </w:t>
      </w:r>
      <w:r w:rsidR="00FD6414">
        <w:t>could</w:t>
      </w:r>
      <w:r w:rsidR="007D4B45">
        <w:t xml:space="preserve"> potentially</w:t>
      </w:r>
      <w:r w:rsidR="00FD6414">
        <w:t xml:space="preserve"> </w:t>
      </w:r>
      <w:r w:rsidR="00752A8F">
        <w:t xml:space="preserve">result in a category </w:t>
      </w:r>
      <w:r w:rsidR="00FD6414">
        <w:t>that</w:t>
      </w:r>
      <w:r w:rsidR="001B5F90">
        <w:t xml:space="preserve"> is </w:t>
      </w:r>
      <w:r w:rsidR="00752A8F">
        <w:t xml:space="preserve">a </w:t>
      </w:r>
      <w:r w:rsidR="001B5F90">
        <w:t xml:space="preserve">less robust, without further evidence, source of read-across analogues. </w:t>
      </w:r>
    </w:p>
    <w:p w14:paraId="063BC456" w14:textId="23756485" w:rsidR="000624DC" w:rsidRDefault="000624DC" w:rsidP="00CF18C5">
      <w:pPr>
        <w:spacing w:after="120" w:line="480" w:lineRule="auto"/>
        <w:jc w:val="both"/>
      </w:pPr>
      <w:r>
        <w:t xml:space="preserve">The quantitative aspects of the read-across can be shown graphically. Figure </w:t>
      </w:r>
      <w:r w:rsidR="007336E7">
        <w:t xml:space="preserve">1 </w:t>
      </w:r>
      <w:r>
        <w:t>shows the scores for the first two princip</w:t>
      </w:r>
      <w:r w:rsidR="004E214A">
        <w:t>a</w:t>
      </w:r>
      <w:r>
        <w:t>l components calculated from the continuous data in Table 6 / Supplementary Information Table S1</w:t>
      </w:r>
      <w:r w:rsidR="00202F32">
        <w:t xml:space="preserve"> (</w:t>
      </w:r>
      <w:r w:rsidR="00DC43C8">
        <w:t xml:space="preserve">logarithmically transformed </w:t>
      </w:r>
      <w:r w:rsidR="00202F32">
        <w:t xml:space="preserve">values for MW, log P, </w:t>
      </w:r>
      <w:proofErr w:type="spellStart"/>
      <w:r w:rsidR="00202F32">
        <w:t>BPt</w:t>
      </w:r>
      <w:proofErr w:type="spellEnd"/>
      <w:r w:rsidR="00202F32">
        <w:t xml:space="preserve">, VP, </w:t>
      </w:r>
      <w:proofErr w:type="spellStart"/>
      <w:r w:rsidR="00DC43C8">
        <w:t>Css</w:t>
      </w:r>
      <w:proofErr w:type="spellEnd"/>
      <w:r w:rsidR="00DC43C8">
        <w:t xml:space="preserve"> and </w:t>
      </w:r>
      <w:proofErr w:type="spellStart"/>
      <w:r w:rsidR="00DC43C8">
        <w:t>Cmax</w:t>
      </w:r>
      <w:proofErr w:type="spellEnd"/>
      <w:r w:rsidR="00DC43C8">
        <w:t xml:space="preserve"> were used where available)</w:t>
      </w:r>
      <w:r>
        <w:t xml:space="preserve">. Whilst this gives a good understanding of the chemistry and toxicokinetic properties, it is not able to describe the toxicodynamic properties due to the lack of continuous data. </w:t>
      </w:r>
    </w:p>
    <w:p w14:paraId="62C84E9B" w14:textId="06E4F877" w:rsidR="00781AED" w:rsidRDefault="00781AED" w:rsidP="00CF18C5">
      <w:pPr>
        <w:spacing w:after="120" w:line="480" w:lineRule="auto"/>
        <w:jc w:val="both"/>
      </w:pPr>
      <w:r>
        <w:t xml:space="preserve">The plot of scores for the first two principal components, as shown in Figure </w:t>
      </w:r>
      <w:r w:rsidR="007336E7">
        <w:t>1</w:t>
      </w:r>
      <w:r>
        <w:t xml:space="preserve">, is a very simplistic representation of the chemical and toxicokinetic space of the triazole and imidazole categories. As such it should be used for illustrative purposes only. However, it does provide some useful information regarding the categories. In terms of </w:t>
      </w:r>
      <w:r w:rsidRPr="004B17E3">
        <w:t>chemical and toxicokinetic space</w:t>
      </w:r>
      <w:r>
        <w:t xml:space="preserve">, the two categories are relatively homogenous and, for the most part, the </w:t>
      </w:r>
      <w:proofErr w:type="spellStart"/>
      <w:r>
        <w:t>imidazoles</w:t>
      </w:r>
      <w:proofErr w:type="spellEnd"/>
      <w:r>
        <w:t xml:space="preserve"> fall into the same space as the triazoles. Hexaconazole, the analogue chosen by Pestana et al. </w:t>
      </w:r>
      <w:r w:rsidR="00255928">
        <w:t>[14]</w:t>
      </w:r>
      <w:r>
        <w:t xml:space="preserve">, is relatively close in terms of this space. However, others are closer - the nearest being cyproconazole. As noted above, the imidazole category is broader than that of the triazoles. It is vital to note that whilst the two categories show consistency, no information regarding </w:t>
      </w:r>
      <w:proofErr w:type="spellStart"/>
      <w:r>
        <w:t>toxicodynamics</w:t>
      </w:r>
      <w:proofErr w:type="spellEnd"/>
      <w:r>
        <w:t xml:space="preserve"> or the significant metabolites is included and these issues should be considered by expert judgement. </w:t>
      </w:r>
    </w:p>
    <w:p w14:paraId="3DE7C52C" w14:textId="2E7EA619" w:rsidR="000624DC" w:rsidRDefault="000624DC" w:rsidP="00CF18C5">
      <w:pPr>
        <w:spacing w:after="120" w:line="480" w:lineRule="auto"/>
        <w:jc w:val="both"/>
      </w:pPr>
    </w:p>
    <w:p w14:paraId="7F841015" w14:textId="0C5AC061" w:rsidR="000624DC" w:rsidRDefault="003910A7" w:rsidP="00CF18C5">
      <w:pPr>
        <w:spacing w:after="120" w:line="480" w:lineRule="auto"/>
        <w:jc w:val="both"/>
      </w:pPr>
      <w:r>
        <w:rPr>
          <w:noProof/>
          <w:lang w:eastAsia="en-GB"/>
        </w:rPr>
        <w:drawing>
          <wp:inline distT="0" distB="0" distL="0" distR="0" wp14:anchorId="01D29035" wp14:editId="1CDE0461">
            <wp:extent cx="5487035"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7035" cy="3657600"/>
                    </a:xfrm>
                    <a:prstGeom prst="rect">
                      <a:avLst/>
                    </a:prstGeom>
                    <a:noFill/>
                  </pic:spPr>
                </pic:pic>
              </a:graphicData>
            </a:graphic>
          </wp:inline>
        </w:drawing>
      </w:r>
    </w:p>
    <w:p w14:paraId="0869F370" w14:textId="7BC3C09C" w:rsidR="000624DC" w:rsidRDefault="000624DC" w:rsidP="00CF18C5">
      <w:pPr>
        <w:spacing w:after="120" w:line="480" w:lineRule="auto"/>
        <w:jc w:val="both"/>
      </w:pPr>
      <w:r w:rsidRPr="00F32107">
        <w:t xml:space="preserve">Figure </w:t>
      </w:r>
      <w:r w:rsidR="007336E7">
        <w:t>1</w:t>
      </w:r>
      <w:r w:rsidRPr="00F32107">
        <w:t xml:space="preserve">. Plot of </w:t>
      </w:r>
      <w:r w:rsidR="00AC7712" w:rsidRPr="00F32107">
        <w:t xml:space="preserve">the scores for the </w:t>
      </w:r>
      <w:r w:rsidRPr="00F32107">
        <w:t>first two princip</w:t>
      </w:r>
      <w:r w:rsidR="004E214A" w:rsidRPr="00F32107">
        <w:t>a</w:t>
      </w:r>
      <w:r w:rsidRPr="00F32107">
        <w:t xml:space="preserve">l components (PCs) </w:t>
      </w:r>
      <w:r w:rsidR="00AC7712" w:rsidRPr="00F32107">
        <w:t>based on the continuous data for the triazole and imidazole categories</w:t>
      </w:r>
      <w:r w:rsidR="00073EDF" w:rsidRPr="00F32107">
        <w:t xml:space="preserve">’ chemical and </w:t>
      </w:r>
      <w:proofErr w:type="spellStart"/>
      <w:r w:rsidR="00073EDF" w:rsidRPr="00F32107">
        <w:t>toxicokinetics</w:t>
      </w:r>
      <w:proofErr w:type="spellEnd"/>
      <w:r w:rsidR="00073EDF" w:rsidRPr="00F32107">
        <w:t xml:space="preserve"> domains.</w:t>
      </w:r>
      <w:r w:rsidR="00CD1C75">
        <w:t xml:space="preserve"> Data for </w:t>
      </w:r>
      <w:r w:rsidR="00CD1C75" w:rsidRPr="00CD1C75">
        <w:t>tebuconazole</w:t>
      </w:r>
      <w:r w:rsidR="00F02A18">
        <w:t xml:space="preserve"> </w:t>
      </w:r>
      <w:r w:rsidR="00CD1C75">
        <w:t xml:space="preserve">were not available so it is excluded. </w:t>
      </w:r>
      <w:r w:rsidR="00E14B5C">
        <w:t xml:space="preserve">Green diamonds represent triazole compounds </w:t>
      </w:r>
      <w:r w:rsidR="00DC1D36">
        <w:t xml:space="preserve">and </w:t>
      </w:r>
      <w:r w:rsidR="00E14B5C">
        <w:t xml:space="preserve">blue circles </w:t>
      </w:r>
      <w:proofErr w:type="spellStart"/>
      <w:r w:rsidR="00E14B5C">
        <w:t>imidazoles</w:t>
      </w:r>
      <w:proofErr w:type="spellEnd"/>
      <w:r w:rsidR="00DC1D36">
        <w:t>.</w:t>
      </w:r>
      <w:r w:rsidR="00741EEE">
        <w:t xml:space="preserve"> </w:t>
      </w:r>
      <w:r w:rsidR="00DC1D36">
        <w:t>T</w:t>
      </w:r>
      <w:r w:rsidR="00741EEE">
        <w:t>he target compound</w:t>
      </w:r>
      <w:r w:rsidR="008F0A11">
        <w:t xml:space="preserve"> (tetraconazole)</w:t>
      </w:r>
      <w:r w:rsidR="00741EEE">
        <w:t xml:space="preserve"> is identified.</w:t>
      </w:r>
    </w:p>
    <w:p w14:paraId="4E4D4A9F" w14:textId="77777777" w:rsidR="00DC43C8" w:rsidRDefault="00DC43C8" w:rsidP="00CF18C5">
      <w:pPr>
        <w:spacing w:after="120" w:line="480" w:lineRule="auto"/>
      </w:pPr>
    </w:p>
    <w:p w14:paraId="14B2286E" w14:textId="46BCAF8B" w:rsidR="00B2325B" w:rsidRDefault="00B2325B" w:rsidP="00CF18C5">
      <w:pPr>
        <w:spacing w:after="120" w:line="480" w:lineRule="auto"/>
      </w:pPr>
    </w:p>
    <w:p w14:paraId="1B9CDC67" w14:textId="77777777" w:rsidR="0010162E" w:rsidRDefault="0010162E" w:rsidP="00CF18C5">
      <w:pPr>
        <w:spacing w:after="120" w:line="480" w:lineRule="auto"/>
        <w:sectPr w:rsidR="0010162E" w:rsidSect="00B640AC">
          <w:type w:val="nextColumn"/>
          <w:pgSz w:w="11906" w:h="16838"/>
          <w:pgMar w:top="1440" w:right="1440" w:bottom="1440" w:left="1440" w:header="708" w:footer="708" w:gutter="0"/>
          <w:lnNumType w:countBy="1" w:restart="continuous"/>
          <w:cols w:space="708"/>
          <w:docGrid w:linePitch="360"/>
        </w:sectPr>
      </w:pPr>
    </w:p>
    <w:p w14:paraId="4FA74994" w14:textId="4F398192" w:rsidR="00B508C4" w:rsidRDefault="00531CD5" w:rsidP="00CF18C5">
      <w:pPr>
        <w:spacing w:after="120" w:line="480" w:lineRule="auto"/>
      </w:pPr>
      <w:r>
        <w:t xml:space="preserve">Table </w:t>
      </w:r>
      <w:r w:rsidR="00DA18A9">
        <w:t>6</w:t>
      </w:r>
      <w:r>
        <w:t>. Domain of the tri</w:t>
      </w:r>
      <w:r w:rsidR="00B16FF8">
        <w:t xml:space="preserve">azole category, </w:t>
      </w:r>
      <w:r w:rsidR="00115811">
        <w:t xml:space="preserve">with the possible extension </w:t>
      </w:r>
      <w:r w:rsidR="00423554">
        <w:t xml:space="preserve">to include </w:t>
      </w:r>
      <w:proofErr w:type="spellStart"/>
      <w:r w:rsidR="00115811">
        <w:t>imidazole</w:t>
      </w:r>
      <w:r w:rsidR="00423554">
        <w:t>s</w:t>
      </w:r>
      <w:proofErr w:type="spellEnd"/>
      <w:r w:rsidR="00115811">
        <w:t xml:space="preserve">, </w:t>
      </w:r>
      <w:r w:rsidR="00B16FF8">
        <w:t>as defined by the criteria</w:t>
      </w:r>
      <w:r w:rsidR="00115811">
        <w:t xml:space="preserve"> set out in Table 2.</w:t>
      </w:r>
    </w:p>
    <w:tbl>
      <w:tblPr>
        <w:tblStyle w:val="TableGrid"/>
        <w:tblW w:w="0" w:type="auto"/>
        <w:tblLayout w:type="fixed"/>
        <w:tblLook w:val="04A0" w:firstRow="1" w:lastRow="0" w:firstColumn="1" w:lastColumn="0" w:noHBand="0" w:noVBand="1"/>
      </w:tblPr>
      <w:tblGrid>
        <w:gridCol w:w="2122"/>
        <w:gridCol w:w="2554"/>
        <w:gridCol w:w="1701"/>
        <w:gridCol w:w="1701"/>
        <w:gridCol w:w="1718"/>
        <w:gridCol w:w="1718"/>
        <w:gridCol w:w="2231"/>
      </w:tblGrid>
      <w:tr w:rsidR="007118B1" w14:paraId="2DEC7200" w14:textId="77777777" w:rsidTr="00CA71A9">
        <w:tc>
          <w:tcPr>
            <w:tcW w:w="2122" w:type="dxa"/>
          </w:tcPr>
          <w:p w14:paraId="2F9E21FB" w14:textId="77777777" w:rsidR="007118B1" w:rsidRDefault="007118B1" w:rsidP="00CF18C5">
            <w:pPr>
              <w:spacing w:after="120" w:line="480" w:lineRule="auto"/>
            </w:pPr>
            <w:r>
              <w:t xml:space="preserve">Applicability Domain Criteria </w:t>
            </w:r>
          </w:p>
        </w:tc>
        <w:tc>
          <w:tcPr>
            <w:tcW w:w="2554" w:type="dxa"/>
          </w:tcPr>
          <w:p w14:paraId="608A797E" w14:textId="77777777" w:rsidR="007118B1" w:rsidRDefault="007118B1" w:rsidP="00CF18C5">
            <w:pPr>
              <w:spacing w:after="120" w:line="480" w:lineRule="auto"/>
            </w:pPr>
            <w:r>
              <w:t>Description</w:t>
            </w:r>
          </w:p>
        </w:tc>
        <w:tc>
          <w:tcPr>
            <w:tcW w:w="1701" w:type="dxa"/>
          </w:tcPr>
          <w:p w14:paraId="3B63B269" w14:textId="77777777" w:rsidR="007118B1" w:rsidRDefault="007118B1" w:rsidP="00CF18C5">
            <w:pPr>
              <w:spacing w:after="120" w:line="480" w:lineRule="auto"/>
            </w:pPr>
            <w:r>
              <w:t>Target: T</w:t>
            </w:r>
            <w:r w:rsidRPr="00D23B5D">
              <w:t>etraconazole</w:t>
            </w:r>
          </w:p>
          <w:p w14:paraId="7AC0459A" w14:textId="77777777" w:rsidR="007118B1" w:rsidRPr="00EB0336" w:rsidRDefault="007118B1" w:rsidP="00CF18C5">
            <w:pPr>
              <w:spacing w:after="120" w:line="480" w:lineRule="auto"/>
              <w:jc w:val="center"/>
            </w:pPr>
          </w:p>
        </w:tc>
        <w:tc>
          <w:tcPr>
            <w:tcW w:w="1701" w:type="dxa"/>
          </w:tcPr>
          <w:p w14:paraId="3D3B0E85" w14:textId="709075A1" w:rsidR="007118B1" w:rsidRDefault="007118B1" w:rsidP="00CF18C5">
            <w:pPr>
              <w:spacing w:after="120" w:line="480" w:lineRule="auto"/>
            </w:pPr>
            <w:r>
              <w:t>Category Range: Triazoles</w:t>
            </w:r>
          </w:p>
        </w:tc>
        <w:tc>
          <w:tcPr>
            <w:tcW w:w="1718" w:type="dxa"/>
          </w:tcPr>
          <w:p w14:paraId="76496953" w14:textId="315C7830" w:rsidR="007118B1" w:rsidRDefault="007118B1" w:rsidP="00CF18C5">
            <w:pPr>
              <w:spacing w:after="120" w:line="480" w:lineRule="auto"/>
            </w:pPr>
            <w:r w:rsidRPr="007118B1">
              <w:t>Conclusion</w:t>
            </w:r>
          </w:p>
        </w:tc>
        <w:tc>
          <w:tcPr>
            <w:tcW w:w="1718" w:type="dxa"/>
          </w:tcPr>
          <w:p w14:paraId="1DA8DB9C" w14:textId="20C30FFF" w:rsidR="007118B1" w:rsidRDefault="007118B1" w:rsidP="00CF18C5">
            <w:pPr>
              <w:spacing w:after="120" w:line="480" w:lineRule="auto"/>
            </w:pPr>
            <w:r>
              <w:t xml:space="preserve">Category Range: </w:t>
            </w:r>
            <w:proofErr w:type="spellStart"/>
            <w:r>
              <w:t>Imidazoles</w:t>
            </w:r>
            <w:proofErr w:type="spellEnd"/>
          </w:p>
        </w:tc>
        <w:tc>
          <w:tcPr>
            <w:tcW w:w="2231" w:type="dxa"/>
          </w:tcPr>
          <w:p w14:paraId="71FDBA99" w14:textId="77777777" w:rsidR="007118B1" w:rsidRDefault="007118B1" w:rsidP="00CF18C5">
            <w:pPr>
              <w:spacing w:after="120" w:line="480" w:lineRule="auto"/>
            </w:pPr>
            <w:r>
              <w:t>Conclusion</w:t>
            </w:r>
          </w:p>
        </w:tc>
      </w:tr>
      <w:tr w:rsidR="007118B1" w14:paraId="6BE5915A" w14:textId="77777777" w:rsidTr="00CA71A9">
        <w:tc>
          <w:tcPr>
            <w:tcW w:w="13745" w:type="dxa"/>
            <w:gridSpan w:val="7"/>
          </w:tcPr>
          <w:p w14:paraId="32CFE088" w14:textId="77777777" w:rsidR="007118B1" w:rsidRDefault="007118B1" w:rsidP="006E5ECE">
            <w:pPr>
              <w:spacing w:after="120" w:line="480" w:lineRule="auto"/>
            </w:pPr>
          </w:p>
        </w:tc>
      </w:tr>
      <w:tr w:rsidR="007118B1" w14:paraId="436B5AEC" w14:textId="77777777" w:rsidTr="00CA71A9">
        <w:tc>
          <w:tcPr>
            <w:tcW w:w="13745" w:type="dxa"/>
            <w:gridSpan w:val="7"/>
          </w:tcPr>
          <w:p w14:paraId="610622A1" w14:textId="7F32F8AC" w:rsidR="007118B1" w:rsidRPr="001C734F" w:rsidRDefault="007118B1" w:rsidP="006E5ECE">
            <w:pPr>
              <w:spacing w:after="120" w:line="480" w:lineRule="auto"/>
              <w:jc w:val="center"/>
              <w:rPr>
                <w:b/>
                <w:bCs/>
              </w:rPr>
            </w:pPr>
            <w:r w:rsidRPr="001C734F">
              <w:rPr>
                <w:b/>
                <w:bCs/>
              </w:rPr>
              <w:t>Chemistry</w:t>
            </w:r>
          </w:p>
        </w:tc>
      </w:tr>
      <w:tr w:rsidR="007118B1" w14:paraId="6C277587" w14:textId="77777777" w:rsidTr="00CA71A9">
        <w:tc>
          <w:tcPr>
            <w:tcW w:w="13745" w:type="dxa"/>
            <w:gridSpan w:val="7"/>
          </w:tcPr>
          <w:p w14:paraId="0498920B" w14:textId="77777777" w:rsidR="007118B1" w:rsidRDefault="007118B1" w:rsidP="006E5ECE">
            <w:pPr>
              <w:spacing w:after="120" w:line="480" w:lineRule="auto"/>
            </w:pPr>
          </w:p>
        </w:tc>
      </w:tr>
      <w:tr w:rsidR="007118B1" w14:paraId="5ECF048A" w14:textId="77777777" w:rsidTr="00CA71A9">
        <w:tc>
          <w:tcPr>
            <w:tcW w:w="2122" w:type="dxa"/>
            <w:vMerge w:val="restart"/>
          </w:tcPr>
          <w:p w14:paraId="40D4AB76" w14:textId="5D131C86" w:rsidR="007118B1" w:rsidRDefault="007118B1" w:rsidP="006E5ECE">
            <w:pPr>
              <w:spacing w:after="120" w:line="480" w:lineRule="auto"/>
            </w:pPr>
            <w:r>
              <w:t xml:space="preserve">Chemical </w:t>
            </w:r>
            <w:r w:rsidR="001261ED">
              <w:t>sub</w:t>
            </w:r>
            <w:r>
              <w:t>structure</w:t>
            </w:r>
          </w:p>
        </w:tc>
        <w:tc>
          <w:tcPr>
            <w:tcW w:w="2554" w:type="dxa"/>
          </w:tcPr>
          <w:p w14:paraId="39C2AB9A" w14:textId="77777777" w:rsidR="007118B1" w:rsidRDefault="007118B1" w:rsidP="006E5ECE">
            <w:pPr>
              <w:spacing w:after="120" w:line="480" w:lineRule="auto"/>
            </w:pPr>
            <w:r>
              <w:t xml:space="preserve">Key structural fragment(s) for grouping </w:t>
            </w:r>
          </w:p>
        </w:tc>
        <w:tc>
          <w:tcPr>
            <w:tcW w:w="1701" w:type="dxa"/>
          </w:tcPr>
          <w:p w14:paraId="7C3E15B3" w14:textId="77777777" w:rsidR="007118B1" w:rsidRPr="00F46725" w:rsidRDefault="007118B1" w:rsidP="006E5ECE">
            <w:pPr>
              <w:spacing w:after="120" w:line="480" w:lineRule="auto"/>
            </w:pPr>
            <w:r w:rsidRPr="009D200B">
              <w:t xml:space="preserve">Triazole </w:t>
            </w:r>
          </w:p>
        </w:tc>
        <w:tc>
          <w:tcPr>
            <w:tcW w:w="1701" w:type="dxa"/>
          </w:tcPr>
          <w:p w14:paraId="74D35D4C" w14:textId="587D77F5" w:rsidR="007118B1" w:rsidRDefault="00145811" w:rsidP="006E5ECE">
            <w:pPr>
              <w:spacing w:after="120" w:line="480" w:lineRule="auto"/>
            </w:pPr>
            <w:r>
              <w:t>Triazole</w:t>
            </w:r>
          </w:p>
        </w:tc>
        <w:tc>
          <w:tcPr>
            <w:tcW w:w="1718" w:type="dxa"/>
          </w:tcPr>
          <w:p w14:paraId="45828ABC" w14:textId="3E9E08FE" w:rsidR="007118B1" w:rsidRDefault="00145811" w:rsidP="006E5ECE">
            <w:pPr>
              <w:spacing w:after="120" w:line="480" w:lineRule="auto"/>
            </w:pPr>
            <w:r>
              <w:t>Identical</w:t>
            </w:r>
          </w:p>
        </w:tc>
        <w:tc>
          <w:tcPr>
            <w:tcW w:w="1718" w:type="dxa"/>
          </w:tcPr>
          <w:p w14:paraId="6BAF34C0" w14:textId="009FE3E5" w:rsidR="007118B1" w:rsidRDefault="00702445" w:rsidP="006E5ECE">
            <w:pPr>
              <w:spacing w:after="120" w:line="480" w:lineRule="auto"/>
            </w:pPr>
            <w:r w:rsidRPr="00603D90">
              <w:t>Imidazole</w:t>
            </w:r>
          </w:p>
        </w:tc>
        <w:tc>
          <w:tcPr>
            <w:tcW w:w="2231" w:type="dxa"/>
          </w:tcPr>
          <w:p w14:paraId="3B87AB9A" w14:textId="7D28C027" w:rsidR="007118B1" w:rsidRDefault="007118B1" w:rsidP="006E5ECE">
            <w:pPr>
              <w:spacing w:after="120" w:line="480" w:lineRule="auto"/>
            </w:pPr>
          </w:p>
        </w:tc>
      </w:tr>
      <w:tr w:rsidR="007118B1" w14:paraId="48E85D3E" w14:textId="77777777" w:rsidTr="00CA71A9">
        <w:tc>
          <w:tcPr>
            <w:tcW w:w="2122" w:type="dxa"/>
            <w:vMerge/>
          </w:tcPr>
          <w:p w14:paraId="46EE1AEB" w14:textId="77777777" w:rsidR="007118B1" w:rsidRDefault="007118B1" w:rsidP="00CF18C5">
            <w:pPr>
              <w:spacing w:after="120" w:line="480" w:lineRule="auto"/>
            </w:pPr>
          </w:p>
        </w:tc>
        <w:tc>
          <w:tcPr>
            <w:tcW w:w="2554" w:type="dxa"/>
          </w:tcPr>
          <w:p w14:paraId="378B7BB8" w14:textId="6C2C934E" w:rsidR="007118B1" w:rsidRDefault="007118B1" w:rsidP="00CF18C5">
            <w:pPr>
              <w:spacing w:after="120" w:line="480" w:lineRule="auto"/>
            </w:pPr>
            <w:r>
              <w:t>Additional fragment(s) defining structure</w:t>
            </w:r>
          </w:p>
        </w:tc>
        <w:tc>
          <w:tcPr>
            <w:tcW w:w="1701" w:type="dxa"/>
          </w:tcPr>
          <w:p w14:paraId="7D160D38" w14:textId="77777777" w:rsidR="007118B1" w:rsidRPr="00F46725" w:rsidRDefault="007118B1" w:rsidP="00CF18C5">
            <w:pPr>
              <w:spacing w:after="120" w:line="480" w:lineRule="auto"/>
            </w:pPr>
            <w:r>
              <w:t>A</w:t>
            </w:r>
            <w:r w:rsidRPr="00F46725">
              <w:t>lkane, ether moiety, aryl, aryl halide, perfluorocarbon</w:t>
            </w:r>
          </w:p>
        </w:tc>
        <w:tc>
          <w:tcPr>
            <w:tcW w:w="1701" w:type="dxa"/>
          </w:tcPr>
          <w:p w14:paraId="52061335" w14:textId="3AFABE7F" w:rsidR="007118B1" w:rsidRDefault="00145811" w:rsidP="00CF18C5">
            <w:pPr>
              <w:spacing w:after="120" w:line="480" w:lineRule="auto"/>
            </w:pPr>
            <w:r>
              <w:t>A</w:t>
            </w:r>
            <w:r w:rsidR="00603D90" w:rsidRPr="00603D90">
              <w:t>ryl, aryl halide in all compounds; alkanes in most</w:t>
            </w:r>
            <w:r w:rsidR="00507131">
              <w:t xml:space="preserve"> compounds</w:t>
            </w:r>
          </w:p>
        </w:tc>
        <w:tc>
          <w:tcPr>
            <w:tcW w:w="1718" w:type="dxa"/>
          </w:tcPr>
          <w:p w14:paraId="2BFC1510" w14:textId="44BD01F4" w:rsidR="007118B1" w:rsidRDefault="00507131" w:rsidP="00CF18C5">
            <w:pPr>
              <w:spacing w:after="120" w:line="480" w:lineRule="auto"/>
            </w:pPr>
            <w:r>
              <w:t xml:space="preserve">Target in domain of </w:t>
            </w:r>
            <w:r w:rsidR="00336A79">
              <w:t xml:space="preserve">the </w:t>
            </w:r>
            <w:r>
              <w:t>triazole category</w:t>
            </w:r>
          </w:p>
        </w:tc>
        <w:tc>
          <w:tcPr>
            <w:tcW w:w="1718" w:type="dxa"/>
          </w:tcPr>
          <w:p w14:paraId="4E1BA774" w14:textId="406AECC5" w:rsidR="007118B1" w:rsidRDefault="00D50E8E" w:rsidP="00CF18C5">
            <w:pPr>
              <w:spacing w:after="120" w:line="480" w:lineRule="auto"/>
            </w:pPr>
            <w:r>
              <w:t>A</w:t>
            </w:r>
            <w:r w:rsidR="00603D90" w:rsidRPr="00603D90">
              <w:t>ryl, aryl halide in most compounds</w:t>
            </w:r>
          </w:p>
        </w:tc>
        <w:tc>
          <w:tcPr>
            <w:tcW w:w="2231" w:type="dxa"/>
          </w:tcPr>
          <w:p w14:paraId="15F3E6C2" w14:textId="6974A6EC" w:rsidR="007118B1" w:rsidRPr="006361A5" w:rsidRDefault="00572C51" w:rsidP="00CF18C5">
            <w:pPr>
              <w:spacing w:after="120" w:line="480" w:lineRule="auto"/>
              <w:rPr>
                <w:color w:val="000000" w:themeColor="text1"/>
              </w:rPr>
            </w:pPr>
            <w:r w:rsidRPr="006361A5">
              <w:rPr>
                <w:color w:val="000000" w:themeColor="text1"/>
              </w:rPr>
              <w:t>Similarity of triazole</w:t>
            </w:r>
            <w:r w:rsidR="00B8670D" w:rsidRPr="006361A5">
              <w:rPr>
                <w:color w:val="000000" w:themeColor="text1"/>
              </w:rPr>
              <w:t>s</w:t>
            </w:r>
            <w:r w:rsidRPr="006361A5">
              <w:rPr>
                <w:color w:val="000000" w:themeColor="text1"/>
              </w:rPr>
              <w:t xml:space="preserve"> and </w:t>
            </w:r>
            <w:proofErr w:type="spellStart"/>
            <w:r w:rsidRPr="006361A5">
              <w:rPr>
                <w:color w:val="000000" w:themeColor="text1"/>
              </w:rPr>
              <w:t>imidazole</w:t>
            </w:r>
            <w:r w:rsidR="00B8670D" w:rsidRPr="006361A5">
              <w:rPr>
                <w:color w:val="000000" w:themeColor="text1"/>
              </w:rPr>
              <w:t>s</w:t>
            </w:r>
            <w:proofErr w:type="spellEnd"/>
            <w:r w:rsidRPr="006361A5">
              <w:rPr>
                <w:color w:val="000000" w:themeColor="text1"/>
              </w:rPr>
              <w:t xml:space="preserve"> need to be assessed to determine if it will affect toxicity</w:t>
            </w:r>
          </w:p>
        </w:tc>
      </w:tr>
      <w:tr w:rsidR="007118B1" w14:paraId="5EC588C6" w14:textId="77777777" w:rsidTr="00CA71A9">
        <w:tc>
          <w:tcPr>
            <w:tcW w:w="2122" w:type="dxa"/>
          </w:tcPr>
          <w:p w14:paraId="154DF947" w14:textId="610A2B37" w:rsidR="007118B1" w:rsidRDefault="001261ED" w:rsidP="006E5ECE">
            <w:pPr>
              <w:spacing w:after="120" w:line="480" w:lineRule="auto"/>
            </w:pPr>
            <w:r>
              <w:t>Molecular s</w:t>
            </w:r>
            <w:r w:rsidR="007118B1">
              <w:t xml:space="preserve">imilarity </w:t>
            </w:r>
          </w:p>
        </w:tc>
        <w:tc>
          <w:tcPr>
            <w:tcW w:w="2554" w:type="dxa"/>
          </w:tcPr>
          <w:p w14:paraId="6B60E5E4" w14:textId="77777777" w:rsidR="007118B1" w:rsidRDefault="007118B1" w:rsidP="006E5ECE">
            <w:pPr>
              <w:spacing w:after="120" w:line="480" w:lineRule="auto"/>
            </w:pPr>
            <w:proofErr w:type="spellStart"/>
            <w:r w:rsidRPr="000933E7">
              <w:t>Tanimoto</w:t>
            </w:r>
            <w:proofErr w:type="spellEnd"/>
            <w:r w:rsidRPr="000933E7">
              <w:t xml:space="preserve"> coefficient</w:t>
            </w:r>
            <w:r>
              <w:t xml:space="preserve"> </w:t>
            </w:r>
            <w:r w:rsidRPr="000933E7">
              <w:t>calculated from PubChem fingerprints</w:t>
            </w:r>
          </w:p>
        </w:tc>
        <w:tc>
          <w:tcPr>
            <w:tcW w:w="1701" w:type="dxa"/>
          </w:tcPr>
          <w:p w14:paraId="7F605881" w14:textId="507031E9" w:rsidR="007118B1" w:rsidRPr="00C36436" w:rsidRDefault="00C36436" w:rsidP="006E5ECE">
            <w:pPr>
              <w:spacing w:after="120" w:line="480" w:lineRule="auto"/>
              <w:rPr>
                <w:caps/>
              </w:rPr>
            </w:pPr>
            <w:r>
              <w:t>N/</w:t>
            </w:r>
            <w:r>
              <w:rPr>
                <w:caps/>
              </w:rPr>
              <w:t>A</w:t>
            </w:r>
          </w:p>
        </w:tc>
        <w:tc>
          <w:tcPr>
            <w:tcW w:w="1701" w:type="dxa"/>
          </w:tcPr>
          <w:p w14:paraId="2E3056A8" w14:textId="06F6E930" w:rsidR="007118B1" w:rsidRDefault="00336A79" w:rsidP="006E5ECE">
            <w:pPr>
              <w:spacing w:after="120" w:line="480" w:lineRule="auto"/>
            </w:pPr>
            <w:r>
              <w:t xml:space="preserve">Most </w:t>
            </w:r>
            <w:proofErr w:type="spellStart"/>
            <w:r>
              <w:t>Tanimoto</w:t>
            </w:r>
            <w:proofErr w:type="spellEnd"/>
            <w:r>
              <w:t xml:space="preserve"> coefficients (with target) &gt; 0.75</w:t>
            </w:r>
          </w:p>
        </w:tc>
        <w:tc>
          <w:tcPr>
            <w:tcW w:w="1718" w:type="dxa"/>
          </w:tcPr>
          <w:p w14:paraId="37A7D6F4" w14:textId="1CC67C79" w:rsidR="007118B1" w:rsidRDefault="00336A79" w:rsidP="006E5ECE">
            <w:pPr>
              <w:spacing w:after="120" w:line="480" w:lineRule="auto"/>
            </w:pPr>
            <w:r w:rsidRPr="00336A79">
              <w:t>Target in domain of the triazole category</w:t>
            </w:r>
          </w:p>
        </w:tc>
        <w:tc>
          <w:tcPr>
            <w:tcW w:w="1718" w:type="dxa"/>
          </w:tcPr>
          <w:p w14:paraId="0F79465F" w14:textId="042A6BF8" w:rsidR="007118B1" w:rsidRDefault="00235F61" w:rsidP="006E5ECE">
            <w:pPr>
              <w:spacing w:after="120" w:line="480" w:lineRule="auto"/>
            </w:pPr>
            <w:proofErr w:type="spellStart"/>
            <w:r>
              <w:t>Tanimoto</w:t>
            </w:r>
            <w:proofErr w:type="spellEnd"/>
            <w:r>
              <w:t xml:space="preserve"> coefficient of target between 0.50 - 0.70 </w:t>
            </w:r>
          </w:p>
        </w:tc>
        <w:tc>
          <w:tcPr>
            <w:tcW w:w="2231" w:type="dxa"/>
          </w:tcPr>
          <w:p w14:paraId="3A8D6E19" w14:textId="63CA3B94" w:rsidR="007118B1" w:rsidRPr="006361A5" w:rsidRDefault="001B5F99" w:rsidP="006E5ECE">
            <w:pPr>
              <w:spacing w:after="120" w:line="480" w:lineRule="auto"/>
              <w:rPr>
                <w:color w:val="000000" w:themeColor="text1"/>
              </w:rPr>
            </w:pPr>
            <w:r w:rsidRPr="006361A5">
              <w:rPr>
                <w:color w:val="000000" w:themeColor="text1"/>
              </w:rPr>
              <w:t>Similarity of target to imidazole category</w:t>
            </w:r>
            <w:r w:rsidR="00305C0E" w:rsidRPr="006361A5">
              <w:rPr>
                <w:color w:val="000000" w:themeColor="text1"/>
              </w:rPr>
              <w:t xml:space="preserve"> needs further evidence to be strongly in domain</w:t>
            </w:r>
          </w:p>
        </w:tc>
      </w:tr>
      <w:tr w:rsidR="00E37D67" w14:paraId="4E3A5712" w14:textId="77777777" w:rsidTr="00CA71A9">
        <w:tc>
          <w:tcPr>
            <w:tcW w:w="2122" w:type="dxa"/>
            <w:vMerge w:val="restart"/>
          </w:tcPr>
          <w:p w14:paraId="5B1D1002" w14:textId="77777777" w:rsidR="00E37D67" w:rsidRDefault="00E37D67" w:rsidP="006E5ECE">
            <w:pPr>
              <w:spacing w:after="120" w:line="480" w:lineRule="auto"/>
            </w:pPr>
            <w:proofErr w:type="spellStart"/>
            <w:r>
              <w:t>Physico</w:t>
            </w:r>
            <w:proofErr w:type="spellEnd"/>
            <w:r>
              <w:t>-chemical properties</w:t>
            </w:r>
          </w:p>
        </w:tc>
        <w:tc>
          <w:tcPr>
            <w:tcW w:w="2554" w:type="dxa"/>
          </w:tcPr>
          <w:p w14:paraId="04FC1524" w14:textId="21E448BF" w:rsidR="00E37D67" w:rsidRDefault="00E37D67" w:rsidP="006E5ECE">
            <w:pPr>
              <w:spacing w:after="120" w:line="480" w:lineRule="auto"/>
            </w:pPr>
            <w:r>
              <w:t>MW (Da)</w:t>
            </w:r>
          </w:p>
        </w:tc>
        <w:tc>
          <w:tcPr>
            <w:tcW w:w="1701" w:type="dxa"/>
          </w:tcPr>
          <w:p w14:paraId="55C3B595" w14:textId="77777777" w:rsidR="00E37D67" w:rsidRDefault="00E37D67" w:rsidP="006E5ECE">
            <w:pPr>
              <w:spacing w:after="120" w:line="480" w:lineRule="auto"/>
            </w:pPr>
            <w:r>
              <w:t>372</w:t>
            </w:r>
          </w:p>
        </w:tc>
        <w:tc>
          <w:tcPr>
            <w:tcW w:w="1701" w:type="dxa"/>
          </w:tcPr>
          <w:p w14:paraId="5019F51D" w14:textId="3119E602" w:rsidR="00E37D67" w:rsidRDefault="00E37D67" w:rsidP="006E5ECE">
            <w:pPr>
              <w:spacing w:after="120" w:line="480" w:lineRule="auto"/>
              <w:ind w:left="-29"/>
            </w:pPr>
            <w:r w:rsidRPr="00E37D67">
              <w:t>292</w:t>
            </w:r>
            <w:r>
              <w:t xml:space="preserve"> </w:t>
            </w:r>
            <w:r w:rsidRPr="00E37D67">
              <w:t>-</w:t>
            </w:r>
            <w:r>
              <w:t xml:space="preserve"> </w:t>
            </w:r>
            <w:r w:rsidRPr="00E37D67">
              <w:t>406</w:t>
            </w:r>
            <w:r w:rsidRPr="00E37D67">
              <w:tab/>
            </w:r>
          </w:p>
        </w:tc>
        <w:tc>
          <w:tcPr>
            <w:tcW w:w="1718" w:type="dxa"/>
          </w:tcPr>
          <w:p w14:paraId="45065ED0" w14:textId="66FD1BE6" w:rsidR="00E37D67" w:rsidRDefault="00E37D67" w:rsidP="006E5ECE">
            <w:pPr>
              <w:spacing w:after="120" w:line="480" w:lineRule="auto"/>
              <w:ind w:left="-29"/>
            </w:pPr>
            <w:r w:rsidRPr="00336A79">
              <w:t>Target in domain of the triazole category</w:t>
            </w:r>
          </w:p>
        </w:tc>
        <w:tc>
          <w:tcPr>
            <w:tcW w:w="1718" w:type="dxa"/>
          </w:tcPr>
          <w:p w14:paraId="0EDD272A" w14:textId="639A3C7A" w:rsidR="00E37D67" w:rsidRDefault="00E37D67" w:rsidP="006E5ECE">
            <w:pPr>
              <w:spacing w:after="120" w:line="480" w:lineRule="auto"/>
              <w:ind w:left="-29"/>
            </w:pPr>
            <w:r w:rsidRPr="00E37D67">
              <w:t>293</w:t>
            </w:r>
            <w:r>
              <w:t xml:space="preserve"> </w:t>
            </w:r>
            <w:r w:rsidRPr="00E37D67">
              <w:t>- 531</w:t>
            </w:r>
          </w:p>
        </w:tc>
        <w:tc>
          <w:tcPr>
            <w:tcW w:w="2231" w:type="dxa"/>
          </w:tcPr>
          <w:p w14:paraId="553430A0" w14:textId="422D0976" w:rsidR="00E37D67" w:rsidRDefault="00E37D67" w:rsidP="006E5ECE">
            <w:pPr>
              <w:spacing w:after="120" w:line="480" w:lineRule="auto"/>
            </w:pPr>
            <w:r w:rsidRPr="00336A79">
              <w:t xml:space="preserve">Target in domain of the </w:t>
            </w:r>
            <w:r>
              <w:t>imid</w:t>
            </w:r>
            <w:r w:rsidRPr="00336A79">
              <w:t>azole category</w:t>
            </w:r>
            <w:r>
              <w:t xml:space="preserve"> </w:t>
            </w:r>
            <w:r w:rsidR="0063718F">
              <w:t xml:space="preserve">(which </w:t>
            </w:r>
            <w:r>
              <w:t>is broader</w:t>
            </w:r>
            <w:r w:rsidR="006A641D">
              <w:t xml:space="preserve"> than th</w:t>
            </w:r>
            <w:r w:rsidR="0063718F">
              <w:t>at of</w:t>
            </w:r>
            <w:r w:rsidR="006A641D">
              <w:t xml:space="preserve"> triazole</w:t>
            </w:r>
            <w:r w:rsidR="00B8670D">
              <w:t>s</w:t>
            </w:r>
            <w:r w:rsidR="0063718F">
              <w:t>)</w:t>
            </w:r>
          </w:p>
        </w:tc>
      </w:tr>
      <w:tr w:rsidR="00E37D67" w14:paraId="0ECE3910" w14:textId="77777777" w:rsidTr="00BC25C8">
        <w:tc>
          <w:tcPr>
            <w:tcW w:w="2122" w:type="dxa"/>
            <w:vMerge/>
          </w:tcPr>
          <w:p w14:paraId="2F2B2B6D" w14:textId="77777777" w:rsidR="00E37D67" w:rsidRDefault="00E37D67" w:rsidP="00CF18C5">
            <w:pPr>
              <w:spacing w:after="120" w:line="480" w:lineRule="auto"/>
            </w:pPr>
          </w:p>
        </w:tc>
        <w:tc>
          <w:tcPr>
            <w:tcW w:w="2554" w:type="dxa"/>
          </w:tcPr>
          <w:p w14:paraId="262DBEEE" w14:textId="77777777" w:rsidR="00E37D67" w:rsidRDefault="00E37D67" w:rsidP="00CF18C5">
            <w:pPr>
              <w:spacing w:after="120" w:line="480" w:lineRule="auto"/>
            </w:pPr>
            <w:r>
              <w:t>Log P</w:t>
            </w:r>
          </w:p>
        </w:tc>
        <w:tc>
          <w:tcPr>
            <w:tcW w:w="1701" w:type="dxa"/>
          </w:tcPr>
          <w:p w14:paraId="44026B21" w14:textId="77777777" w:rsidR="00E37D67" w:rsidRDefault="00E37D67" w:rsidP="00CF18C5">
            <w:pPr>
              <w:spacing w:after="120" w:line="480" w:lineRule="auto"/>
            </w:pPr>
            <w:r>
              <w:t>3.53</w:t>
            </w:r>
          </w:p>
        </w:tc>
        <w:tc>
          <w:tcPr>
            <w:tcW w:w="1701" w:type="dxa"/>
          </w:tcPr>
          <w:p w14:paraId="2BD4B372" w14:textId="08D3B49C" w:rsidR="00E37D67" w:rsidRDefault="00173784" w:rsidP="00CF18C5">
            <w:pPr>
              <w:spacing w:after="120" w:line="480" w:lineRule="auto"/>
              <w:ind w:left="-29"/>
            </w:pPr>
            <w:r w:rsidRPr="00173784">
              <w:t>2.75</w:t>
            </w:r>
            <w:r>
              <w:t xml:space="preserve"> </w:t>
            </w:r>
            <w:r w:rsidRPr="00173784">
              <w:t>- 4.26</w:t>
            </w:r>
            <w:r w:rsidRPr="00173784">
              <w:tab/>
            </w:r>
          </w:p>
        </w:tc>
        <w:tc>
          <w:tcPr>
            <w:tcW w:w="1718" w:type="dxa"/>
          </w:tcPr>
          <w:p w14:paraId="74B6282F" w14:textId="6B50CEEA" w:rsidR="00E37D67" w:rsidRDefault="00173784" w:rsidP="00CF18C5">
            <w:pPr>
              <w:spacing w:after="120" w:line="480" w:lineRule="auto"/>
              <w:ind w:left="-29"/>
            </w:pPr>
            <w:r w:rsidRPr="00173784">
              <w:t>Target in domain of the triazole</w:t>
            </w:r>
            <w:r w:rsidR="00B8670D">
              <w:t>s</w:t>
            </w:r>
            <w:r w:rsidRPr="00173784">
              <w:t xml:space="preserve"> category</w:t>
            </w:r>
          </w:p>
        </w:tc>
        <w:tc>
          <w:tcPr>
            <w:tcW w:w="1718" w:type="dxa"/>
            <w:shd w:val="clear" w:color="auto" w:fill="auto"/>
          </w:tcPr>
          <w:p w14:paraId="19F4E9D1" w14:textId="3A83A4AE" w:rsidR="00E37D67" w:rsidRPr="00BC25C8" w:rsidRDefault="00173784" w:rsidP="00CF18C5">
            <w:pPr>
              <w:spacing w:after="120" w:line="480" w:lineRule="auto"/>
              <w:ind w:left="-29"/>
            </w:pPr>
            <w:r w:rsidRPr="00BC25C8">
              <w:t>1.4</w:t>
            </w:r>
            <w:r w:rsidR="002620D2" w:rsidRPr="00BC25C8">
              <w:t>0</w:t>
            </w:r>
            <w:r w:rsidRPr="00BC25C8">
              <w:t xml:space="preserve"> – </w:t>
            </w:r>
            <w:r w:rsidR="00B8670D" w:rsidRPr="00BC25C8">
              <w:t>4.</w:t>
            </w:r>
            <w:r w:rsidR="00512F88">
              <w:t>35</w:t>
            </w:r>
          </w:p>
        </w:tc>
        <w:tc>
          <w:tcPr>
            <w:tcW w:w="2231" w:type="dxa"/>
          </w:tcPr>
          <w:p w14:paraId="63BAC2C0" w14:textId="6B3695FD" w:rsidR="00E37D67" w:rsidRDefault="00173784" w:rsidP="00CF18C5">
            <w:pPr>
              <w:spacing w:after="120" w:line="480" w:lineRule="auto"/>
            </w:pPr>
            <w:r w:rsidRPr="00173784">
              <w:t xml:space="preserve">Target in domain of the imidazole category, </w:t>
            </w:r>
            <w:r w:rsidR="0063718F">
              <w:t xml:space="preserve">(which </w:t>
            </w:r>
            <w:r w:rsidRPr="00173784">
              <w:t>is broader than th</w:t>
            </w:r>
            <w:r w:rsidR="0063718F">
              <w:t>at</w:t>
            </w:r>
            <w:r w:rsidRPr="00173784">
              <w:t xml:space="preserve"> </w:t>
            </w:r>
            <w:r w:rsidR="0063718F">
              <w:t xml:space="preserve">of </w:t>
            </w:r>
            <w:r w:rsidRPr="00173784">
              <w:t>triazole</w:t>
            </w:r>
            <w:r w:rsidR="00B8670D">
              <w:t>s</w:t>
            </w:r>
            <w:r w:rsidR="0063718F">
              <w:t>)</w:t>
            </w:r>
          </w:p>
        </w:tc>
      </w:tr>
      <w:tr w:rsidR="00E37D67" w14:paraId="4AF59392" w14:textId="77777777" w:rsidTr="00CA71A9">
        <w:tc>
          <w:tcPr>
            <w:tcW w:w="2122" w:type="dxa"/>
            <w:vMerge/>
          </w:tcPr>
          <w:p w14:paraId="186FD137" w14:textId="77777777" w:rsidR="00E37D67" w:rsidRDefault="00E37D67" w:rsidP="00CF18C5">
            <w:pPr>
              <w:spacing w:after="120" w:line="480" w:lineRule="auto"/>
            </w:pPr>
          </w:p>
        </w:tc>
        <w:tc>
          <w:tcPr>
            <w:tcW w:w="2554" w:type="dxa"/>
          </w:tcPr>
          <w:p w14:paraId="14B9D984" w14:textId="66190047" w:rsidR="00E37D67" w:rsidRDefault="00E37D67" w:rsidP="00CF18C5">
            <w:pPr>
              <w:spacing w:after="120" w:line="480" w:lineRule="auto"/>
            </w:pPr>
            <w:r>
              <w:t>Water Solubility (log solubility in moles</w:t>
            </w:r>
            <w:r w:rsidR="00FD6414">
              <w:t>/</w:t>
            </w:r>
            <w:r>
              <w:t>litre)</w:t>
            </w:r>
          </w:p>
        </w:tc>
        <w:tc>
          <w:tcPr>
            <w:tcW w:w="1701" w:type="dxa"/>
          </w:tcPr>
          <w:p w14:paraId="38DA48B6" w14:textId="77777777" w:rsidR="00E37D67" w:rsidRDefault="00E37D67" w:rsidP="00CF18C5">
            <w:pPr>
              <w:spacing w:after="120" w:line="480" w:lineRule="auto"/>
            </w:pPr>
            <w:r>
              <w:t>-3.03</w:t>
            </w:r>
          </w:p>
        </w:tc>
        <w:tc>
          <w:tcPr>
            <w:tcW w:w="1701" w:type="dxa"/>
          </w:tcPr>
          <w:p w14:paraId="29244AF4" w14:textId="21C7A042" w:rsidR="00E37D67" w:rsidRDefault="00BB12D7" w:rsidP="00CF18C5">
            <w:pPr>
              <w:spacing w:after="120" w:line="480" w:lineRule="auto"/>
              <w:ind w:left="-29"/>
            </w:pPr>
            <w:r>
              <w:t>-</w:t>
            </w:r>
            <w:r w:rsidRPr="00BB12D7">
              <w:t xml:space="preserve">3.03 - </w:t>
            </w:r>
            <w:r>
              <w:t>-</w:t>
            </w:r>
            <w:r w:rsidRPr="00BB12D7">
              <w:t>5.89</w:t>
            </w:r>
          </w:p>
        </w:tc>
        <w:tc>
          <w:tcPr>
            <w:tcW w:w="1718" w:type="dxa"/>
          </w:tcPr>
          <w:p w14:paraId="21A2CD4A" w14:textId="1B7EF042" w:rsidR="00E37D67" w:rsidRDefault="00BB12D7" w:rsidP="00CF18C5">
            <w:pPr>
              <w:spacing w:after="120" w:line="480" w:lineRule="auto"/>
              <w:ind w:left="-29"/>
            </w:pPr>
            <w:r w:rsidRPr="00BB12D7">
              <w:t>Target in domain of the triazole category</w:t>
            </w:r>
          </w:p>
        </w:tc>
        <w:tc>
          <w:tcPr>
            <w:tcW w:w="1718" w:type="dxa"/>
          </w:tcPr>
          <w:p w14:paraId="705C4E80" w14:textId="28250BB7" w:rsidR="00E37D67" w:rsidRDefault="002620D2" w:rsidP="00CF18C5">
            <w:pPr>
              <w:spacing w:after="120" w:line="480" w:lineRule="auto"/>
              <w:ind w:left="-29"/>
            </w:pPr>
            <w:r w:rsidRPr="002620D2">
              <w:t>-</w:t>
            </w:r>
            <w:r w:rsidRPr="00993DC6">
              <w:t>3.</w:t>
            </w:r>
            <w:r w:rsidR="00B8670D" w:rsidRPr="00993DC6">
              <w:t>80</w:t>
            </w:r>
            <w:r w:rsidRPr="002620D2">
              <w:t xml:space="preserve"> </w:t>
            </w:r>
            <w:r w:rsidR="00DE2D30">
              <w:t>to</w:t>
            </w:r>
            <w:r w:rsidRPr="002620D2">
              <w:t xml:space="preserve"> -</w:t>
            </w:r>
            <w:r w:rsidR="00993DC6">
              <w:t>5,98</w:t>
            </w:r>
          </w:p>
        </w:tc>
        <w:tc>
          <w:tcPr>
            <w:tcW w:w="2231" w:type="dxa"/>
          </w:tcPr>
          <w:p w14:paraId="203C78DE" w14:textId="307E1788" w:rsidR="00E37D67" w:rsidRDefault="00BB12D7" w:rsidP="00CF18C5">
            <w:pPr>
              <w:spacing w:after="120" w:line="480" w:lineRule="auto"/>
            </w:pPr>
            <w:r w:rsidRPr="00BB12D7">
              <w:t>Target in domain of the imidazole category</w:t>
            </w:r>
            <w:r w:rsidR="006F63CC">
              <w:t xml:space="preserve"> (</w:t>
            </w:r>
            <w:r w:rsidR="0063718F">
              <w:t xml:space="preserve">which </w:t>
            </w:r>
            <w:r w:rsidRPr="00BB12D7">
              <w:t xml:space="preserve">is </w:t>
            </w:r>
            <w:r w:rsidR="00537902">
              <w:t xml:space="preserve">similar </w:t>
            </w:r>
            <w:r w:rsidR="006F63CC">
              <w:t xml:space="preserve">to </w:t>
            </w:r>
            <w:r w:rsidRPr="0063718F">
              <w:rPr>
                <w:color w:val="000000" w:themeColor="text1"/>
              </w:rPr>
              <w:t>tha</w:t>
            </w:r>
            <w:r w:rsidR="006F63CC">
              <w:rPr>
                <w:color w:val="000000" w:themeColor="text1"/>
              </w:rPr>
              <w:t>t</w:t>
            </w:r>
            <w:r w:rsidR="006F63CC">
              <w:t xml:space="preserve"> of </w:t>
            </w:r>
            <w:r w:rsidRPr="00BB12D7">
              <w:t>triazole</w:t>
            </w:r>
            <w:r w:rsidR="00B8670D">
              <w:t>s</w:t>
            </w:r>
            <w:r w:rsidR="006F63CC">
              <w:t>)</w:t>
            </w:r>
          </w:p>
        </w:tc>
      </w:tr>
      <w:tr w:rsidR="00E37D67" w14:paraId="7AF892E5" w14:textId="77777777" w:rsidTr="00CA71A9">
        <w:tc>
          <w:tcPr>
            <w:tcW w:w="2122" w:type="dxa"/>
            <w:vMerge/>
          </w:tcPr>
          <w:p w14:paraId="4A2B2759" w14:textId="77777777" w:rsidR="00E37D67" w:rsidRDefault="00E37D67" w:rsidP="00CF18C5">
            <w:pPr>
              <w:spacing w:after="120" w:line="480" w:lineRule="auto"/>
            </w:pPr>
          </w:p>
        </w:tc>
        <w:tc>
          <w:tcPr>
            <w:tcW w:w="2554" w:type="dxa"/>
          </w:tcPr>
          <w:p w14:paraId="74915CF7" w14:textId="77777777" w:rsidR="00E37D67" w:rsidRDefault="00E37D67" w:rsidP="00CF18C5">
            <w:pPr>
              <w:spacing w:after="120" w:line="480" w:lineRule="auto"/>
            </w:pPr>
            <w:r>
              <w:t xml:space="preserve">Vapour Pressure (log VP in </w:t>
            </w:r>
            <w:r w:rsidRPr="007334BA">
              <w:t>mmHg</w:t>
            </w:r>
            <w:r>
              <w:t>)</w:t>
            </w:r>
          </w:p>
        </w:tc>
        <w:tc>
          <w:tcPr>
            <w:tcW w:w="1701" w:type="dxa"/>
          </w:tcPr>
          <w:p w14:paraId="07A8758E" w14:textId="77777777" w:rsidR="00E37D67" w:rsidRDefault="00E37D67" w:rsidP="00CF18C5">
            <w:pPr>
              <w:spacing w:after="120" w:line="480" w:lineRule="auto"/>
            </w:pPr>
            <w:r>
              <w:t>-5.76</w:t>
            </w:r>
          </w:p>
        </w:tc>
        <w:tc>
          <w:tcPr>
            <w:tcW w:w="1701" w:type="dxa"/>
          </w:tcPr>
          <w:p w14:paraId="64B28BF2" w14:textId="017749C9" w:rsidR="00E37D67" w:rsidRDefault="006E167D" w:rsidP="00CF18C5">
            <w:pPr>
              <w:spacing w:after="120" w:line="480" w:lineRule="auto"/>
              <w:ind w:left="-29"/>
            </w:pPr>
            <w:r>
              <w:t>-</w:t>
            </w:r>
            <w:r w:rsidRPr="006E167D">
              <w:t xml:space="preserve">5.73 - </w:t>
            </w:r>
            <w:r>
              <w:t>-</w:t>
            </w:r>
            <w:r w:rsidRPr="006E167D">
              <w:t>9.21</w:t>
            </w:r>
          </w:p>
        </w:tc>
        <w:tc>
          <w:tcPr>
            <w:tcW w:w="1718" w:type="dxa"/>
          </w:tcPr>
          <w:p w14:paraId="0BE791BF" w14:textId="027C9DFD" w:rsidR="00E37D67" w:rsidRDefault="006E167D" w:rsidP="00CF18C5">
            <w:pPr>
              <w:spacing w:after="120" w:line="480" w:lineRule="auto"/>
              <w:ind w:left="-29"/>
            </w:pPr>
            <w:r w:rsidRPr="006E167D">
              <w:t>Target in domain of the triazole category</w:t>
            </w:r>
          </w:p>
        </w:tc>
        <w:tc>
          <w:tcPr>
            <w:tcW w:w="1718" w:type="dxa"/>
          </w:tcPr>
          <w:p w14:paraId="30AFA812" w14:textId="70599079" w:rsidR="00E37D67" w:rsidRDefault="006E167D" w:rsidP="00CF18C5">
            <w:pPr>
              <w:spacing w:after="120" w:line="480" w:lineRule="auto"/>
              <w:ind w:left="-29"/>
            </w:pPr>
            <w:r w:rsidRPr="006E167D">
              <w:tab/>
              <w:t xml:space="preserve">-2.98 </w:t>
            </w:r>
            <w:r w:rsidR="00DE2D30">
              <w:t>to</w:t>
            </w:r>
            <w:r w:rsidRPr="006E167D">
              <w:t xml:space="preserve"> - 9.57</w:t>
            </w:r>
          </w:p>
        </w:tc>
        <w:tc>
          <w:tcPr>
            <w:tcW w:w="2231" w:type="dxa"/>
          </w:tcPr>
          <w:p w14:paraId="5DCF7641" w14:textId="58EB2DD5" w:rsidR="00E37D67" w:rsidRDefault="006E167D" w:rsidP="00CF18C5">
            <w:pPr>
              <w:spacing w:after="120" w:line="480" w:lineRule="auto"/>
            </w:pPr>
            <w:r w:rsidRPr="006E167D">
              <w:t xml:space="preserve">Target in domain of the imidazole category </w:t>
            </w:r>
            <w:r w:rsidR="006F63CC">
              <w:t xml:space="preserve">(which </w:t>
            </w:r>
            <w:r w:rsidRPr="006E167D">
              <w:t xml:space="preserve">is broader than </w:t>
            </w:r>
            <w:r w:rsidR="006F63CC" w:rsidRPr="006E167D">
              <w:t>th</w:t>
            </w:r>
            <w:r w:rsidR="006F63CC">
              <w:t>at of</w:t>
            </w:r>
            <w:r w:rsidR="006F63CC" w:rsidRPr="006E167D">
              <w:t xml:space="preserve"> </w:t>
            </w:r>
            <w:r w:rsidRPr="006E167D">
              <w:t>triazole</w:t>
            </w:r>
            <w:r w:rsidR="00B8670D">
              <w:t>s</w:t>
            </w:r>
            <w:r w:rsidR="006F63CC">
              <w:t>)</w:t>
            </w:r>
          </w:p>
        </w:tc>
      </w:tr>
      <w:tr w:rsidR="00E37D67" w14:paraId="0D3E63E4" w14:textId="77777777" w:rsidTr="00CA71A9">
        <w:trPr>
          <w:trHeight w:val="155"/>
        </w:trPr>
        <w:tc>
          <w:tcPr>
            <w:tcW w:w="2122" w:type="dxa"/>
            <w:vMerge/>
          </w:tcPr>
          <w:p w14:paraId="2D2861FD" w14:textId="77777777" w:rsidR="00E37D67" w:rsidRDefault="00E37D67" w:rsidP="00CF18C5">
            <w:pPr>
              <w:spacing w:after="120" w:line="480" w:lineRule="auto"/>
            </w:pPr>
          </w:p>
        </w:tc>
        <w:tc>
          <w:tcPr>
            <w:tcW w:w="2554" w:type="dxa"/>
          </w:tcPr>
          <w:p w14:paraId="0143F810" w14:textId="77777777" w:rsidR="00E37D67" w:rsidRDefault="00E37D67" w:rsidP="00CF18C5">
            <w:pPr>
              <w:spacing w:after="120" w:line="480" w:lineRule="auto"/>
            </w:pPr>
            <w:r w:rsidRPr="00671AE1">
              <w:t>Boiling point (°C)</w:t>
            </w:r>
          </w:p>
        </w:tc>
        <w:tc>
          <w:tcPr>
            <w:tcW w:w="1701" w:type="dxa"/>
          </w:tcPr>
          <w:p w14:paraId="2790266D" w14:textId="77777777" w:rsidR="00E37D67" w:rsidRDefault="00E37D67" w:rsidP="00CF18C5">
            <w:pPr>
              <w:spacing w:after="120" w:line="480" w:lineRule="auto"/>
            </w:pPr>
            <w:r w:rsidRPr="00671AE1">
              <w:t>339</w:t>
            </w:r>
          </w:p>
        </w:tc>
        <w:tc>
          <w:tcPr>
            <w:tcW w:w="1701" w:type="dxa"/>
          </w:tcPr>
          <w:p w14:paraId="601EE84E" w14:textId="67CFB24B" w:rsidR="00E37D67" w:rsidRDefault="00981ADB" w:rsidP="00CF18C5">
            <w:pPr>
              <w:spacing w:after="120" w:line="480" w:lineRule="auto"/>
              <w:ind w:left="-29"/>
            </w:pPr>
            <w:r w:rsidRPr="00981ADB">
              <w:t>321 - 350</w:t>
            </w:r>
          </w:p>
        </w:tc>
        <w:tc>
          <w:tcPr>
            <w:tcW w:w="1718" w:type="dxa"/>
          </w:tcPr>
          <w:p w14:paraId="64A21BA7" w14:textId="7F4F6A17" w:rsidR="00E37D67" w:rsidRDefault="00D15A72" w:rsidP="00CF18C5">
            <w:pPr>
              <w:spacing w:after="120" w:line="480" w:lineRule="auto"/>
              <w:ind w:left="-29"/>
            </w:pPr>
            <w:r w:rsidRPr="00D15A72">
              <w:t>Target in domain of the triazole category</w:t>
            </w:r>
          </w:p>
        </w:tc>
        <w:tc>
          <w:tcPr>
            <w:tcW w:w="1718" w:type="dxa"/>
          </w:tcPr>
          <w:p w14:paraId="1CC2F355" w14:textId="00BAD8FC" w:rsidR="00E37D67" w:rsidRDefault="00A55530" w:rsidP="00CF18C5">
            <w:pPr>
              <w:spacing w:after="120" w:line="480" w:lineRule="auto"/>
              <w:ind w:left="-29"/>
            </w:pPr>
            <w:r w:rsidRPr="00A55530">
              <w:t>336 -753</w:t>
            </w:r>
          </w:p>
        </w:tc>
        <w:tc>
          <w:tcPr>
            <w:tcW w:w="2231" w:type="dxa"/>
          </w:tcPr>
          <w:p w14:paraId="7DFDD0C0" w14:textId="2430F39D" w:rsidR="00E37D67" w:rsidRDefault="00D15A72" w:rsidP="00CF18C5">
            <w:pPr>
              <w:spacing w:after="120" w:line="480" w:lineRule="auto"/>
            </w:pPr>
            <w:r w:rsidRPr="00D15A72">
              <w:t>Target in domain of the imidazole category</w:t>
            </w:r>
            <w:r w:rsidR="006F63CC">
              <w:t xml:space="preserve"> (which</w:t>
            </w:r>
            <w:r w:rsidRPr="00D15A72">
              <w:t xml:space="preserve"> is broader than </w:t>
            </w:r>
            <w:r w:rsidR="006F63CC" w:rsidRPr="00D15A72">
              <w:t>th</w:t>
            </w:r>
            <w:r w:rsidR="006F63CC">
              <w:t>at of</w:t>
            </w:r>
            <w:r w:rsidR="006F63CC" w:rsidRPr="00D15A72">
              <w:t xml:space="preserve"> </w:t>
            </w:r>
            <w:r w:rsidRPr="00D15A72">
              <w:t>triazole</w:t>
            </w:r>
            <w:r w:rsidR="00B8670D">
              <w:t>s</w:t>
            </w:r>
            <w:r w:rsidR="006F63CC">
              <w:t>)</w:t>
            </w:r>
          </w:p>
        </w:tc>
      </w:tr>
      <w:tr w:rsidR="008B6FD0" w14:paraId="30107900" w14:textId="77777777" w:rsidTr="00CA71A9">
        <w:tc>
          <w:tcPr>
            <w:tcW w:w="2122" w:type="dxa"/>
          </w:tcPr>
          <w:p w14:paraId="324E9C40" w14:textId="37BF574B" w:rsidR="008B6FD0" w:rsidRDefault="008B6FD0" w:rsidP="006E5ECE">
            <w:pPr>
              <w:spacing w:after="120" w:line="480" w:lineRule="auto"/>
            </w:pPr>
            <w:r w:rsidRPr="00C62460">
              <w:t>Conclusion and Justification</w:t>
            </w:r>
            <w:r>
              <w:t xml:space="preserve"> for the Triazoles Category (Chemistry Domain)</w:t>
            </w:r>
            <w:r w:rsidRPr="00C62460">
              <w:t xml:space="preserve">: </w:t>
            </w:r>
          </w:p>
        </w:tc>
        <w:tc>
          <w:tcPr>
            <w:tcW w:w="11623" w:type="dxa"/>
            <w:gridSpan w:val="6"/>
          </w:tcPr>
          <w:p w14:paraId="0CCD039E" w14:textId="21D63167" w:rsidR="008B6FD0" w:rsidRDefault="008B6FD0" w:rsidP="006E5ECE">
            <w:pPr>
              <w:spacing w:after="120" w:line="480" w:lineRule="auto"/>
            </w:pPr>
            <w:r w:rsidRPr="00C62460">
              <w:t>The target and source molecule</w:t>
            </w:r>
            <w:r>
              <w:t>s</w:t>
            </w:r>
            <w:r w:rsidR="003575C2">
              <w:t xml:space="preserve"> in the triazole category</w:t>
            </w:r>
            <w:r w:rsidRPr="00C62460">
              <w:t xml:space="preserve"> are highly similar </w:t>
            </w:r>
            <w:r>
              <w:t>with regard to the chemistry domain. The molecules share the same key structural fragment that is responsible for the</w:t>
            </w:r>
            <w:r w:rsidR="006361A5">
              <w:rPr>
                <w:color w:val="FF0000"/>
              </w:rPr>
              <w:t xml:space="preserve"> </w:t>
            </w:r>
            <w:r w:rsidR="006361A5" w:rsidRPr="006E5ECE">
              <w:t xml:space="preserve">dominant </w:t>
            </w:r>
            <w:r>
              <w:t xml:space="preserve">mode of action. There are no structural fragments that would </w:t>
            </w:r>
            <w:r w:rsidR="006361A5">
              <w:t xml:space="preserve">be expected to </w:t>
            </w:r>
            <w:r>
              <w:t xml:space="preserve">affect toxicity </w:t>
            </w:r>
            <w:r w:rsidRPr="006361A5">
              <w:rPr>
                <w:color w:val="000000" w:themeColor="text1"/>
              </w:rPr>
              <w:t>significant</w:t>
            </w:r>
            <w:r w:rsidR="006361A5">
              <w:rPr>
                <w:color w:val="000000" w:themeColor="text1"/>
              </w:rPr>
              <w:t>ly</w:t>
            </w:r>
            <w:r>
              <w:t xml:space="preserve">. All relevant </w:t>
            </w:r>
            <w:proofErr w:type="spellStart"/>
            <w:r>
              <w:t>physico</w:t>
            </w:r>
            <w:proofErr w:type="spellEnd"/>
            <w:r>
              <w:t>-chemical properties are similar.</w:t>
            </w:r>
          </w:p>
        </w:tc>
      </w:tr>
      <w:tr w:rsidR="003575C2" w14:paraId="04D844DE" w14:textId="77777777" w:rsidTr="00CA71A9">
        <w:tc>
          <w:tcPr>
            <w:tcW w:w="2122" w:type="dxa"/>
          </w:tcPr>
          <w:p w14:paraId="6B58909F" w14:textId="561B7219" w:rsidR="003575C2" w:rsidRDefault="003575C2" w:rsidP="006E5ECE">
            <w:pPr>
              <w:spacing w:after="120" w:line="480" w:lineRule="auto"/>
            </w:pPr>
            <w:r w:rsidRPr="00C62460">
              <w:t>Conclusion and Justification</w:t>
            </w:r>
            <w:r>
              <w:t xml:space="preserve"> for the </w:t>
            </w:r>
            <w:proofErr w:type="spellStart"/>
            <w:r>
              <w:t>Imidazoles</w:t>
            </w:r>
            <w:proofErr w:type="spellEnd"/>
            <w:r>
              <w:t xml:space="preserve"> Category (Chemistry Domain)</w:t>
            </w:r>
            <w:r w:rsidRPr="00C62460">
              <w:t xml:space="preserve">: </w:t>
            </w:r>
          </w:p>
        </w:tc>
        <w:tc>
          <w:tcPr>
            <w:tcW w:w="11623" w:type="dxa"/>
            <w:gridSpan w:val="6"/>
          </w:tcPr>
          <w:p w14:paraId="3FB1034C" w14:textId="04BDBF12" w:rsidR="003575C2" w:rsidRDefault="003575C2" w:rsidP="006E5ECE">
            <w:pPr>
              <w:spacing w:after="120" w:line="480" w:lineRule="auto"/>
            </w:pPr>
            <w:r w:rsidRPr="00C62460">
              <w:t>The target and source molecule</w:t>
            </w:r>
            <w:r>
              <w:t xml:space="preserve">s in the </w:t>
            </w:r>
            <w:r w:rsidR="0040066A">
              <w:t xml:space="preserve">imidazole </w:t>
            </w:r>
            <w:r>
              <w:t>category</w:t>
            </w:r>
            <w:r w:rsidRPr="00C62460">
              <w:t xml:space="preserve"> are </w:t>
            </w:r>
            <w:r>
              <w:t>moderately</w:t>
            </w:r>
            <w:r w:rsidRPr="00C62460">
              <w:t xml:space="preserve"> similar </w:t>
            </w:r>
            <w:r>
              <w:t xml:space="preserve">with regard to the chemistry domain. The molecules share </w:t>
            </w:r>
            <w:r w:rsidR="00ED669B">
              <w:t>a highly related</w:t>
            </w:r>
            <w:r>
              <w:t xml:space="preserve"> key structural fragment that is responsible for the </w:t>
            </w:r>
            <w:r w:rsidR="006361A5">
              <w:t xml:space="preserve">dominant </w:t>
            </w:r>
            <w:r>
              <w:t xml:space="preserve">mode of action. There are </w:t>
            </w:r>
            <w:r w:rsidR="006C2B1C">
              <w:t>few</w:t>
            </w:r>
            <w:r>
              <w:t xml:space="preserve"> structural fragments that would</w:t>
            </w:r>
            <w:r w:rsidR="006361A5">
              <w:t xml:space="preserve"> be expected to</w:t>
            </w:r>
            <w:r>
              <w:t xml:space="preserve"> affect toxicity significant</w:t>
            </w:r>
            <w:r w:rsidR="006361A5">
              <w:t>ly</w:t>
            </w:r>
            <w:r w:rsidR="006C2B1C">
              <w:t xml:space="preserve"> in the category</w:t>
            </w:r>
            <w:r>
              <w:t xml:space="preserve">. </w:t>
            </w:r>
            <w:r w:rsidR="006C2B1C">
              <w:t xml:space="preserve">The target molecule falls within the range of </w:t>
            </w:r>
            <w:r>
              <w:t xml:space="preserve">relevant </w:t>
            </w:r>
            <w:proofErr w:type="spellStart"/>
            <w:r>
              <w:t>physico</w:t>
            </w:r>
            <w:proofErr w:type="spellEnd"/>
            <w:r>
              <w:t>-chemical properties</w:t>
            </w:r>
            <w:r w:rsidR="006C2B1C">
              <w:t xml:space="preserve">, but </w:t>
            </w:r>
            <w:r w:rsidR="00D111A6">
              <w:t xml:space="preserve">it should be noted that </w:t>
            </w:r>
            <w:r w:rsidR="006C2B1C">
              <w:t xml:space="preserve">this </w:t>
            </w:r>
            <w:r w:rsidR="00D111A6">
              <w:t xml:space="preserve">range is </w:t>
            </w:r>
            <w:r w:rsidR="006C2B1C">
              <w:t xml:space="preserve">relatively </w:t>
            </w:r>
            <w:r w:rsidR="00646A06" w:rsidRPr="00D111A6">
              <w:rPr>
                <w:color w:val="000000" w:themeColor="text1"/>
              </w:rPr>
              <w:t>broad</w:t>
            </w:r>
            <w:r w:rsidR="00D111A6" w:rsidRPr="00D111A6">
              <w:rPr>
                <w:color w:val="000000" w:themeColor="text1"/>
              </w:rPr>
              <w:t>.</w:t>
            </w:r>
          </w:p>
        </w:tc>
      </w:tr>
      <w:tr w:rsidR="00E37D67" w14:paraId="3F0ECA25" w14:textId="77777777" w:rsidTr="00CA71A9">
        <w:tc>
          <w:tcPr>
            <w:tcW w:w="13745" w:type="dxa"/>
            <w:gridSpan w:val="7"/>
          </w:tcPr>
          <w:p w14:paraId="69FD8CC8" w14:textId="77777777" w:rsidR="00E37D67" w:rsidRDefault="00E37D67" w:rsidP="006E5ECE">
            <w:pPr>
              <w:spacing w:after="120" w:line="480" w:lineRule="auto"/>
            </w:pPr>
          </w:p>
        </w:tc>
      </w:tr>
      <w:tr w:rsidR="00E37D67" w14:paraId="4E6EF33E" w14:textId="77777777" w:rsidTr="00CA71A9">
        <w:tc>
          <w:tcPr>
            <w:tcW w:w="13745" w:type="dxa"/>
            <w:gridSpan w:val="7"/>
          </w:tcPr>
          <w:p w14:paraId="356DC017" w14:textId="7D2B2C2F" w:rsidR="00E37D67" w:rsidRPr="00735328" w:rsidRDefault="00E37D67" w:rsidP="006E5ECE">
            <w:pPr>
              <w:spacing w:after="120" w:line="480" w:lineRule="auto"/>
              <w:jc w:val="center"/>
              <w:rPr>
                <w:b/>
                <w:bCs/>
              </w:rPr>
            </w:pPr>
            <w:proofErr w:type="spellStart"/>
            <w:r w:rsidRPr="00735328">
              <w:rPr>
                <w:b/>
                <w:bCs/>
              </w:rPr>
              <w:t>Toxicodynamics</w:t>
            </w:r>
            <w:proofErr w:type="spellEnd"/>
          </w:p>
        </w:tc>
      </w:tr>
      <w:tr w:rsidR="00E37D67" w14:paraId="056BAC1E" w14:textId="77777777" w:rsidTr="00CA71A9">
        <w:tc>
          <w:tcPr>
            <w:tcW w:w="13745" w:type="dxa"/>
            <w:gridSpan w:val="7"/>
          </w:tcPr>
          <w:p w14:paraId="228FE5B2" w14:textId="77777777" w:rsidR="00E37D67" w:rsidRDefault="00E37D67" w:rsidP="006E5ECE">
            <w:pPr>
              <w:spacing w:after="120" w:line="480" w:lineRule="auto"/>
            </w:pPr>
          </w:p>
        </w:tc>
      </w:tr>
      <w:tr w:rsidR="00A55530" w14:paraId="4FDEC7B7" w14:textId="77777777" w:rsidTr="00CA71A9">
        <w:tc>
          <w:tcPr>
            <w:tcW w:w="2122" w:type="dxa"/>
            <w:vMerge w:val="restart"/>
          </w:tcPr>
          <w:p w14:paraId="0EB6B532" w14:textId="77777777" w:rsidR="00A55530" w:rsidRDefault="00A55530" w:rsidP="006E5ECE">
            <w:pPr>
              <w:spacing w:after="120" w:line="480" w:lineRule="auto"/>
            </w:pPr>
            <w:r>
              <w:t>Toxicology</w:t>
            </w:r>
          </w:p>
        </w:tc>
        <w:tc>
          <w:tcPr>
            <w:tcW w:w="2554" w:type="dxa"/>
          </w:tcPr>
          <w:p w14:paraId="1251FEC8" w14:textId="77777777" w:rsidR="00A55530" w:rsidRPr="00F64598" w:rsidRDefault="00A55530" w:rsidP="006E5ECE">
            <w:pPr>
              <w:spacing w:after="120" w:line="480" w:lineRule="auto"/>
            </w:pPr>
            <w:r>
              <w:t xml:space="preserve">Effect responsible for toxicity </w:t>
            </w:r>
          </w:p>
        </w:tc>
        <w:tc>
          <w:tcPr>
            <w:tcW w:w="1701" w:type="dxa"/>
          </w:tcPr>
          <w:p w14:paraId="6EA7FA4C" w14:textId="77777777" w:rsidR="00A55530" w:rsidRDefault="00A55530" w:rsidP="006E5ECE">
            <w:pPr>
              <w:spacing w:after="120" w:line="480" w:lineRule="auto"/>
            </w:pPr>
            <w:r>
              <w:t>Liver toxicity</w:t>
            </w:r>
          </w:p>
        </w:tc>
        <w:tc>
          <w:tcPr>
            <w:tcW w:w="1701" w:type="dxa"/>
          </w:tcPr>
          <w:p w14:paraId="3D3A25ED" w14:textId="7FB32DBC" w:rsidR="00A55530" w:rsidRDefault="00A55530" w:rsidP="006E5ECE">
            <w:pPr>
              <w:spacing w:after="120" w:line="480" w:lineRule="auto"/>
            </w:pPr>
            <w:r>
              <w:t>Liver toxicity</w:t>
            </w:r>
          </w:p>
        </w:tc>
        <w:tc>
          <w:tcPr>
            <w:tcW w:w="1718" w:type="dxa"/>
          </w:tcPr>
          <w:p w14:paraId="6FE44A92" w14:textId="30784041" w:rsidR="00A55530" w:rsidRDefault="00A55530" w:rsidP="006E5ECE">
            <w:pPr>
              <w:spacing w:after="120" w:line="480" w:lineRule="auto"/>
            </w:pPr>
            <w:r w:rsidRPr="00725989">
              <w:t>Target in domain of the triazole category</w:t>
            </w:r>
          </w:p>
        </w:tc>
        <w:tc>
          <w:tcPr>
            <w:tcW w:w="1718" w:type="dxa"/>
          </w:tcPr>
          <w:p w14:paraId="7ACDD9B9" w14:textId="7E57CDA8" w:rsidR="00A55530" w:rsidRDefault="1AE1BB32" w:rsidP="006E5ECE">
            <w:pPr>
              <w:spacing w:after="120" w:line="480" w:lineRule="auto"/>
            </w:pPr>
            <w:r>
              <w:t>Liver</w:t>
            </w:r>
            <w:r w:rsidR="00A55530">
              <w:t xml:space="preserve"> toxicity</w:t>
            </w:r>
          </w:p>
        </w:tc>
        <w:tc>
          <w:tcPr>
            <w:tcW w:w="2231" w:type="dxa"/>
          </w:tcPr>
          <w:p w14:paraId="46268C3D" w14:textId="635914F8" w:rsidR="00A55530" w:rsidRDefault="00A55530" w:rsidP="006E5ECE">
            <w:pPr>
              <w:spacing w:after="120" w:line="480" w:lineRule="auto"/>
            </w:pPr>
            <w:r w:rsidRPr="00D15A72">
              <w:t xml:space="preserve">Target in domain of the </w:t>
            </w:r>
            <w:r>
              <w:t>imid</w:t>
            </w:r>
            <w:r w:rsidRPr="00D15A72">
              <w:t>azole category</w:t>
            </w:r>
          </w:p>
        </w:tc>
      </w:tr>
      <w:tr w:rsidR="00A55530" w14:paraId="2192FDEA" w14:textId="77777777" w:rsidTr="00CA71A9">
        <w:tc>
          <w:tcPr>
            <w:tcW w:w="2122" w:type="dxa"/>
            <w:vMerge/>
          </w:tcPr>
          <w:p w14:paraId="30A0A33B" w14:textId="77777777" w:rsidR="00A55530" w:rsidRPr="001A1C11" w:rsidRDefault="00A55530" w:rsidP="00CF18C5">
            <w:pPr>
              <w:spacing w:after="120" w:line="480" w:lineRule="auto"/>
            </w:pPr>
          </w:p>
        </w:tc>
        <w:tc>
          <w:tcPr>
            <w:tcW w:w="2554" w:type="dxa"/>
          </w:tcPr>
          <w:p w14:paraId="1DA2C98E" w14:textId="77777777" w:rsidR="00A55530" w:rsidRDefault="00A55530" w:rsidP="00CF18C5">
            <w:pPr>
              <w:spacing w:after="120" w:line="480" w:lineRule="auto"/>
            </w:pPr>
            <w:r w:rsidRPr="00BA3A06">
              <w:rPr>
                <w:color w:val="000000" w:themeColor="text1"/>
              </w:rPr>
              <w:t>Non-standard data</w:t>
            </w:r>
          </w:p>
        </w:tc>
        <w:tc>
          <w:tcPr>
            <w:tcW w:w="1701" w:type="dxa"/>
          </w:tcPr>
          <w:p w14:paraId="091B0C21" w14:textId="77777777" w:rsidR="00A55530" w:rsidRDefault="00A55530" w:rsidP="00CF18C5">
            <w:pPr>
              <w:spacing w:after="120" w:line="480" w:lineRule="auto"/>
            </w:pPr>
            <w:r>
              <w:t>None</w:t>
            </w:r>
          </w:p>
        </w:tc>
        <w:tc>
          <w:tcPr>
            <w:tcW w:w="1701" w:type="dxa"/>
          </w:tcPr>
          <w:p w14:paraId="6DAD02A9" w14:textId="17EE808F" w:rsidR="00A55530" w:rsidRDefault="00A55530" w:rsidP="00CF18C5">
            <w:pPr>
              <w:spacing w:after="120" w:line="480" w:lineRule="auto"/>
            </w:pPr>
            <w:r>
              <w:t>None</w:t>
            </w:r>
          </w:p>
        </w:tc>
        <w:tc>
          <w:tcPr>
            <w:tcW w:w="1718" w:type="dxa"/>
          </w:tcPr>
          <w:p w14:paraId="718850E1" w14:textId="7F0DBAC1" w:rsidR="004272D8" w:rsidRPr="001C548F" w:rsidRDefault="004272D8" w:rsidP="00CF18C5">
            <w:pPr>
              <w:spacing w:after="120" w:line="480" w:lineRule="auto"/>
              <w:rPr>
                <w:color w:val="000000" w:themeColor="text1"/>
              </w:rPr>
            </w:pPr>
            <w:r>
              <w:rPr>
                <w:color w:val="000000" w:themeColor="text1"/>
              </w:rPr>
              <w:t>N/A</w:t>
            </w:r>
          </w:p>
        </w:tc>
        <w:tc>
          <w:tcPr>
            <w:tcW w:w="1718" w:type="dxa"/>
          </w:tcPr>
          <w:p w14:paraId="214C01D6" w14:textId="0BF43B46" w:rsidR="00A55530" w:rsidRPr="001C548F" w:rsidRDefault="00A55530" w:rsidP="00CF18C5">
            <w:pPr>
              <w:spacing w:after="120" w:line="480" w:lineRule="auto"/>
              <w:rPr>
                <w:color w:val="000000" w:themeColor="text1"/>
              </w:rPr>
            </w:pPr>
            <w:r w:rsidRPr="001C548F">
              <w:rPr>
                <w:color w:val="000000" w:themeColor="text1"/>
              </w:rPr>
              <w:t>None</w:t>
            </w:r>
          </w:p>
        </w:tc>
        <w:tc>
          <w:tcPr>
            <w:tcW w:w="2231" w:type="dxa"/>
          </w:tcPr>
          <w:p w14:paraId="7BEF2CB4" w14:textId="001FC079" w:rsidR="004272D8" w:rsidRPr="001C548F" w:rsidRDefault="004272D8" w:rsidP="00CF18C5">
            <w:pPr>
              <w:spacing w:after="120" w:line="480" w:lineRule="auto"/>
              <w:rPr>
                <w:color w:val="000000" w:themeColor="text1"/>
              </w:rPr>
            </w:pPr>
            <w:r>
              <w:rPr>
                <w:color w:val="000000" w:themeColor="text1"/>
              </w:rPr>
              <w:t>N/A</w:t>
            </w:r>
          </w:p>
        </w:tc>
      </w:tr>
      <w:tr w:rsidR="00A55530" w14:paraId="1ABDB5A7" w14:textId="77777777" w:rsidTr="00CA71A9">
        <w:tc>
          <w:tcPr>
            <w:tcW w:w="2122" w:type="dxa"/>
            <w:vMerge/>
          </w:tcPr>
          <w:p w14:paraId="1F23ABB0" w14:textId="77777777" w:rsidR="00A55530" w:rsidRPr="001A1C11" w:rsidRDefault="00A55530" w:rsidP="00CF18C5">
            <w:pPr>
              <w:spacing w:after="120" w:line="480" w:lineRule="auto"/>
            </w:pPr>
          </w:p>
        </w:tc>
        <w:tc>
          <w:tcPr>
            <w:tcW w:w="2554" w:type="dxa"/>
          </w:tcPr>
          <w:p w14:paraId="367E42D3" w14:textId="77777777" w:rsidR="00A55530" w:rsidRDefault="00A55530" w:rsidP="00CF18C5">
            <w:pPr>
              <w:spacing w:after="120" w:line="480" w:lineRule="auto"/>
            </w:pPr>
            <w:r>
              <w:t>Data for other (related) endpoints</w:t>
            </w:r>
          </w:p>
        </w:tc>
        <w:tc>
          <w:tcPr>
            <w:tcW w:w="1701" w:type="dxa"/>
          </w:tcPr>
          <w:p w14:paraId="24D661DC" w14:textId="77777777" w:rsidR="00A55530" w:rsidRDefault="00A55530" w:rsidP="00CF18C5">
            <w:pPr>
              <w:spacing w:after="120" w:line="480" w:lineRule="auto"/>
            </w:pPr>
            <w:r>
              <w:t>None</w:t>
            </w:r>
          </w:p>
        </w:tc>
        <w:tc>
          <w:tcPr>
            <w:tcW w:w="1701" w:type="dxa"/>
          </w:tcPr>
          <w:p w14:paraId="4F74FA28" w14:textId="33C699C9" w:rsidR="00A55530" w:rsidRDefault="00A55530" w:rsidP="00CF18C5">
            <w:pPr>
              <w:spacing w:after="120" w:line="480" w:lineRule="auto"/>
            </w:pPr>
            <w:r>
              <w:t>None</w:t>
            </w:r>
          </w:p>
        </w:tc>
        <w:tc>
          <w:tcPr>
            <w:tcW w:w="1718" w:type="dxa"/>
          </w:tcPr>
          <w:p w14:paraId="616BF0A9" w14:textId="0CACA8BD" w:rsidR="004272D8" w:rsidRPr="001C548F" w:rsidRDefault="004272D8" w:rsidP="00CF18C5">
            <w:pPr>
              <w:spacing w:after="120" w:line="480" w:lineRule="auto"/>
              <w:rPr>
                <w:color w:val="000000" w:themeColor="text1"/>
              </w:rPr>
            </w:pPr>
            <w:r>
              <w:rPr>
                <w:color w:val="000000" w:themeColor="text1"/>
              </w:rPr>
              <w:t>N/A</w:t>
            </w:r>
          </w:p>
        </w:tc>
        <w:tc>
          <w:tcPr>
            <w:tcW w:w="1718" w:type="dxa"/>
          </w:tcPr>
          <w:p w14:paraId="55ADA413" w14:textId="3392A0E1" w:rsidR="00A55530" w:rsidRPr="001C548F" w:rsidRDefault="00A55530" w:rsidP="00CF18C5">
            <w:pPr>
              <w:spacing w:after="120" w:line="480" w:lineRule="auto"/>
              <w:rPr>
                <w:color w:val="000000" w:themeColor="text1"/>
              </w:rPr>
            </w:pPr>
            <w:r w:rsidRPr="001C548F">
              <w:rPr>
                <w:color w:val="000000" w:themeColor="text1"/>
              </w:rPr>
              <w:t>None</w:t>
            </w:r>
          </w:p>
        </w:tc>
        <w:tc>
          <w:tcPr>
            <w:tcW w:w="2231" w:type="dxa"/>
          </w:tcPr>
          <w:p w14:paraId="017C5B0D" w14:textId="5D0CA32B" w:rsidR="004272D8" w:rsidRPr="001C548F" w:rsidRDefault="004272D8" w:rsidP="00CF18C5">
            <w:pPr>
              <w:spacing w:after="120" w:line="480" w:lineRule="auto"/>
              <w:rPr>
                <w:color w:val="000000" w:themeColor="text1"/>
              </w:rPr>
            </w:pPr>
            <w:r>
              <w:rPr>
                <w:color w:val="000000" w:themeColor="text1"/>
              </w:rPr>
              <w:t>N/A</w:t>
            </w:r>
          </w:p>
        </w:tc>
      </w:tr>
      <w:tr w:rsidR="00A55530" w14:paraId="108B3653" w14:textId="77777777" w:rsidTr="00CA71A9">
        <w:tc>
          <w:tcPr>
            <w:tcW w:w="2122" w:type="dxa"/>
          </w:tcPr>
          <w:p w14:paraId="7AEE766C" w14:textId="096AEA03" w:rsidR="00A55530" w:rsidRDefault="00A55530" w:rsidP="006E5ECE">
            <w:pPr>
              <w:spacing w:after="120" w:line="480" w:lineRule="auto"/>
            </w:pPr>
            <w:r w:rsidRPr="001A1C11">
              <w:t>M</w:t>
            </w:r>
            <w:r w:rsidR="004F4385">
              <w:t xml:space="preserve">olecular </w:t>
            </w:r>
            <w:r w:rsidRPr="001A1C11">
              <w:t>I</w:t>
            </w:r>
            <w:r w:rsidR="004F4385">
              <w:t xml:space="preserve">nitiating </w:t>
            </w:r>
            <w:r w:rsidRPr="001A1C11">
              <w:t>E</w:t>
            </w:r>
            <w:r w:rsidR="004F4385">
              <w:t>vent</w:t>
            </w:r>
          </w:p>
        </w:tc>
        <w:tc>
          <w:tcPr>
            <w:tcW w:w="2554" w:type="dxa"/>
          </w:tcPr>
          <w:p w14:paraId="2941FFC4" w14:textId="1EC7193F" w:rsidR="00A55530" w:rsidRPr="007471CF" w:rsidRDefault="00B8670D" w:rsidP="006E5ECE">
            <w:pPr>
              <w:spacing w:after="120" w:line="480" w:lineRule="auto"/>
            </w:pPr>
            <w:r>
              <w:t>T</w:t>
            </w:r>
            <w:r w:rsidR="00A55530" w:rsidRPr="007471CF">
              <w:t>ype of interaction between the molecule and biological system causing the toxicity (i.e. the MIE)</w:t>
            </w:r>
          </w:p>
        </w:tc>
        <w:tc>
          <w:tcPr>
            <w:tcW w:w="1701" w:type="dxa"/>
          </w:tcPr>
          <w:p w14:paraId="63FDBB12" w14:textId="77777777" w:rsidR="00A55530" w:rsidRDefault="00A55530" w:rsidP="006E5ECE">
            <w:pPr>
              <w:spacing w:after="120" w:line="480" w:lineRule="auto"/>
            </w:pPr>
            <w:r>
              <w:t>Receptor binding (to nuclear receptors)</w:t>
            </w:r>
          </w:p>
        </w:tc>
        <w:tc>
          <w:tcPr>
            <w:tcW w:w="1701" w:type="dxa"/>
          </w:tcPr>
          <w:p w14:paraId="17FE9C93" w14:textId="65067175" w:rsidR="00A55530" w:rsidRDefault="00A55530" w:rsidP="006E5ECE">
            <w:pPr>
              <w:spacing w:after="120" w:line="480" w:lineRule="auto"/>
            </w:pPr>
            <w:r>
              <w:t>Receptor binding (to nuclear receptors)</w:t>
            </w:r>
          </w:p>
        </w:tc>
        <w:tc>
          <w:tcPr>
            <w:tcW w:w="1718" w:type="dxa"/>
          </w:tcPr>
          <w:p w14:paraId="2BA56353" w14:textId="2A7391A8" w:rsidR="00A55530" w:rsidRDefault="00A55530" w:rsidP="006E5ECE">
            <w:pPr>
              <w:spacing w:after="120" w:line="480" w:lineRule="auto"/>
            </w:pPr>
            <w:r w:rsidRPr="00725989">
              <w:t>Target in domain of the triazole category</w:t>
            </w:r>
          </w:p>
        </w:tc>
        <w:tc>
          <w:tcPr>
            <w:tcW w:w="1718" w:type="dxa"/>
          </w:tcPr>
          <w:p w14:paraId="1DC9709F" w14:textId="1B32B746" w:rsidR="00A55530" w:rsidRDefault="00A55530" w:rsidP="006E5ECE">
            <w:pPr>
              <w:spacing w:after="120" w:line="480" w:lineRule="auto"/>
            </w:pPr>
            <w:r>
              <w:t>Receptor binding (to nuclear receptors)</w:t>
            </w:r>
          </w:p>
        </w:tc>
        <w:tc>
          <w:tcPr>
            <w:tcW w:w="2231" w:type="dxa"/>
          </w:tcPr>
          <w:p w14:paraId="53F24699" w14:textId="1D1E6506" w:rsidR="00A55530" w:rsidRDefault="00A55530" w:rsidP="006E5ECE">
            <w:pPr>
              <w:spacing w:after="120" w:line="480" w:lineRule="auto"/>
            </w:pPr>
            <w:r w:rsidRPr="00975B74">
              <w:t>Target in domain of the imidazole category</w:t>
            </w:r>
          </w:p>
        </w:tc>
      </w:tr>
      <w:tr w:rsidR="00A55530" w14:paraId="3199BE16" w14:textId="77777777" w:rsidTr="00CA71A9">
        <w:tc>
          <w:tcPr>
            <w:tcW w:w="2122" w:type="dxa"/>
            <w:vMerge w:val="restart"/>
          </w:tcPr>
          <w:p w14:paraId="47AFC05B" w14:textId="77777777" w:rsidR="00A55530" w:rsidRDefault="00A55530" w:rsidP="006E5ECE">
            <w:pPr>
              <w:spacing w:after="120" w:line="480" w:lineRule="auto"/>
            </w:pPr>
            <w:r>
              <w:t>Mechanistic analysis</w:t>
            </w:r>
          </w:p>
        </w:tc>
        <w:tc>
          <w:tcPr>
            <w:tcW w:w="2554" w:type="dxa"/>
          </w:tcPr>
          <w:p w14:paraId="3C73315C" w14:textId="77777777" w:rsidR="00A55530" w:rsidRPr="00345CA4" w:rsidRDefault="00A55530" w:rsidP="006E5ECE">
            <w:pPr>
              <w:spacing w:after="120" w:line="480" w:lineRule="auto"/>
            </w:pPr>
            <w:r w:rsidRPr="00345CA4">
              <w:rPr>
                <w:i/>
                <w:iCs/>
              </w:rPr>
              <w:t>In silico</w:t>
            </w:r>
            <w:r w:rsidRPr="00345CA4">
              <w:t xml:space="preserve"> screening for oestrogen receptor binding</w:t>
            </w:r>
          </w:p>
        </w:tc>
        <w:tc>
          <w:tcPr>
            <w:tcW w:w="1701" w:type="dxa"/>
          </w:tcPr>
          <w:p w14:paraId="2A396925" w14:textId="77777777" w:rsidR="00A55530" w:rsidRDefault="00A55530" w:rsidP="006E5ECE">
            <w:pPr>
              <w:spacing w:after="120" w:line="480" w:lineRule="auto"/>
            </w:pPr>
            <w:r>
              <w:t>No alert</w:t>
            </w:r>
          </w:p>
        </w:tc>
        <w:tc>
          <w:tcPr>
            <w:tcW w:w="1701" w:type="dxa"/>
          </w:tcPr>
          <w:p w14:paraId="7783784B" w14:textId="433B939C" w:rsidR="00A55530" w:rsidRDefault="00A55530" w:rsidP="006E5ECE">
            <w:pPr>
              <w:spacing w:after="120" w:line="480" w:lineRule="auto"/>
            </w:pPr>
            <w:r>
              <w:t>No alert</w:t>
            </w:r>
          </w:p>
        </w:tc>
        <w:tc>
          <w:tcPr>
            <w:tcW w:w="1718" w:type="dxa"/>
          </w:tcPr>
          <w:p w14:paraId="6F6A1F07" w14:textId="2EA79826" w:rsidR="00A55530" w:rsidRDefault="00A55530" w:rsidP="006E5ECE">
            <w:pPr>
              <w:spacing w:after="120" w:line="480" w:lineRule="auto"/>
            </w:pPr>
            <w:r w:rsidRPr="00725989">
              <w:t>Target in domain of the triazole category</w:t>
            </w:r>
          </w:p>
        </w:tc>
        <w:tc>
          <w:tcPr>
            <w:tcW w:w="1718" w:type="dxa"/>
          </w:tcPr>
          <w:p w14:paraId="09AADCDF" w14:textId="03ADC29D" w:rsidR="00A55530" w:rsidRDefault="00A55530" w:rsidP="006E5ECE">
            <w:pPr>
              <w:spacing w:after="120" w:line="480" w:lineRule="auto"/>
            </w:pPr>
            <w:r>
              <w:t>No alert</w:t>
            </w:r>
          </w:p>
        </w:tc>
        <w:tc>
          <w:tcPr>
            <w:tcW w:w="2231" w:type="dxa"/>
          </w:tcPr>
          <w:p w14:paraId="7AE801CB" w14:textId="32165E10" w:rsidR="00A55530" w:rsidRDefault="00A55530" w:rsidP="006E5ECE">
            <w:pPr>
              <w:spacing w:after="120" w:line="480" w:lineRule="auto"/>
            </w:pPr>
            <w:r w:rsidRPr="00975B74">
              <w:t>Target in domain of the imidazole category</w:t>
            </w:r>
          </w:p>
        </w:tc>
      </w:tr>
      <w:tr w:rsidR="00A55530" w14:paraId="2127B752" w14:textId="77777777" w:rsidTr="00CA71A9">
        <w:tc>
          <w:tcPr>
            <w:tcW w:w="2122" w:type="dxa"/>
            <w:vMerge/>
          </w:tcPr>
          <w:p w14:paraId="721E16D9" w14:textId="77777777" w:rsidR="00A55530" w:rsidRDefault="00A55530" w:rsidP="00CF18C5">
            <w:pPr>
              <w:spacing w:after="120" w:line="480" w:lineRule="auto"/>
            </w:pPr>
          </w:p>
        </w:tc>
        <w:tc>
          <w:tcPr>
            <w:tcW w:w="2554" w:type="dxa"/>
          </w:tcPr>
          <w:p w14:paraId="075F8044" w14:textId="77777777" w:rsidR="00A55530" w:rsidRDefault="00A55530" w:rsidP="00CF18C5">
            <w:pPr>
              <w:spacing w:after="120" w:line="480" w:lineRule="auto"/>
            </w:pPr>
            <w:r w:rsidRPr="00E745C4">
              <w:rPr>
                <w:i/>
                <w:iCs/>
              </w:rPr>
              <w:t>In silico</w:t>
            </w:r>
            <w:r w:rsidRPr="00493184">
              <w:t xml:space="preserve"> screening for </w:t>
            </w:r>
            <w:r>
              <w:t>thyroid receptor</w:t>
            </w:r>
            <w:r w:rsidRPr="00493184">
              <w:t xml:space="preserve"> binding</w:t>
            </w:r>
          </w:p>
        </w:tc>
        <w:tc>
          <w:tcPr>
            <w:tcW w:w="1701" w:type="dxa"/>
          </w:tcPr>
          <w:p w14:paraId="75C866E0" w14:textId="77777777" w:rsidR="00A55530" w:rsidRDefault="00A55530" w:rsidP="00CF18C5">
            <w:pPr>
              <w:spacing w:after="120" w:line="480" w:lineRule="auto"/>
            </w:pPr>
            <w:r w:rsidRPr="00493184">
              <w:t>No alert</w:t>
            </w:r>
          </w:p>
        </w:tc>
        <w:tc>
          <w:tcPr>
            <w:tcW w:w="1701" w:type="dxa"/>
          </w:tcPr>
          <w:p w14:paraId="241F85BB" w14:textId="5F9A960C" w:rsidR="00A55530" w:rsidRDefault="00A55530" w:rsidP="00CF18C5">
            <w:pPr>
              <w:spacing w:after="120" w:line="480" w:lineRule="auto"/>
            </w:pPr>
            <w:r w:rsidRPr="00493184">
              <w:t>No alert</w:t>
            </w:r>
          </w:p>
        </w:tc>
        <w:tc>
          <w:tcPr>
            <w:tcW w:w="1718" w:type="dxa"/>
          </w:tcPr>
          <w:p w14:paraId="2BB1A66E" w14:textId="6E84B388" w:rsidR="00A55530" w:rsidRDefault="00A55530" w:rsidP="00CF18C5">
            <w:pPr>
              <w:spacing w:after="120" w:line="480" w:lineRule="auto"/>
            </w:pPr>
            <w:r w:rsidRPr="00725989">
              <w:t>Target in domain of the triazole category</w:t>
            </w:r>
          </w:p>
        </w:tc>
        <w:tc>
          <w:tcPr>
            <w:tcW w:w="1718" w:type="dxa"/>
          </w:tcPr>
          <w:p w14:paraId="685A0F34" w14:textId="3C0FADC5" w:rsidR="00A55530" w:rsidRDefault="00A55530" w:rsidP="00CF18C5">
            <w:pPr>
              <w:spacing w:after="120" w:line="480" w:lineRule="auto"/>
            </w:pPr>
            <w:r w:rsidRPr="00493184">
              <w:t>No alert</w:t>
            </w:r>
          </w:p>
        </w:tc>
        <w:tc>
          <w:tcPr>
            <w:tcW w:w="2231" w:type="dxa"/>
          </w:tcPr>
          <w:p w14:paraId="6206278A" w14:textId="1F235F36" w:rsidR="00A55530" w:rsidRDefault="00A55530" w:rsidP="00CF18C5">
            <w:pPr>
              <w:spacing w:after="120" w:line="480" w:lineRule="auto"/>
            </w:pPr>
            <w:r w:rsidRPr="00975B74">
              <w:t>Target in domain of the imidazole category</w:t>
            </w:r>
          </w:p>
        </w:tc>
      </w:tr>
      <w:tr w:rsidR="00A55530" w14:paraId="1FC04A44" w14:textId="77777777" w:rsidTr="00CA71A9">
        <w:tc>
          <w:tcPr>
            <w:tcW w:w="2122" w:type="dxa"/>
            <w:vMerge/>
          </w:tcPr>
          <w:p w14:paraId="0BB084A2" w14:textId="77777777" w:rsidR="00A55530" w:rsidRDefault="00A55530" w:rsidP="00CF18C5">
            <w:pPr>
              <w:spacing w:after="120" w:line="480" w:lineRule="auto"/>
            </w:pPr>
          </w:p>
        </w:tc>
        <w:tc>
          <w:tcPr>
            <w:tcW w:w="2554" w:type="dxa"/>
          </w:tcPr>
          <w:p w14:paraId="0DDCE50A" w14:textId="77777777" w:rsidR="00A55530" w:rsidRDefault="00A55530" w:rsidP="00CF18C5">
            <w:pPr>
              <w:spacing w:after="120" w:line="480" w:lineRule="auto"/>
            </w:pPr>
            <w:r w:rsidRPr="00E745C4">
              <w:rPr>
                <w:i/>
                <w:iCs/>
              </w:rPr>
              <w:t>In silico</w:t>
            </w:r>
            <w:r w:rsidRPr="00E81647">
              <w:t xml:space="preserve"> screening for </w:t>
            </w:r>
            <w:r>
              <w:t>non-genotoxic carcinogenicity</w:t>
            </w:r>
          </w:p>
        </w:tc>
        <w:tc>
          <w:tcPr>
            <w:tcW w:w="1701" w:type="dxa"/>
          </w:tcPr>
          <w:p w14:paraId="6E4B6E39" w14:textId="77777777" w:rsidR="00A55530" w:rsidRDefault="00A55530" w:rsidP="00CF18C5">
            <w:pPr>
              <w:spacing w:after="120" w:line="480" w:lineRule="auto"/>
            </w:pPr>
            <w:r w:rsidRPr="00E81647">
              <w:t>No alert</w:t>
            </w:r>
          </w:p>
        </w:tc>
        <w:tc>
          <w:tcPr>
            <w:tcW w:w="1701" w:type="dxa"/>
          </w:tcPr>
          <w:p w14:paraId="5ED06662" w14:textId="487B240C" w:rsidR="00A55530" w:rsidRDefault="00A55530" w:rsidP="00CF18C5">
            <w:pPr>
              <w:spacing w:after="120" w:line="480" w:lineRule="auto"/>
            </w:pPr>
            <w:r w:rsidRPr="00E81647">
              <w:t>No alert</w:t>
            </w:r>
          </w:p>
        </w:tc>
        <w:tc>
          <w:tcPr>
            <w:tcW w:w="1718" w:type="dxa"/>
          </w:tcPr>
          <w:p w14:paraId="3C39CB32" w14:textId="73E85E6A" w:rsidR="00A55530" w:rsidRDefault="00A55530" w:rsidP="00CF18C5">
            <w:pPr>
              <w:spacing w:after="120" w:line="480" w:lineRule="auto"/>
            </w:pPr>
            <w:r w:rsidRPr="00725989">
              <w:t>Target in domain of the triazole category</w:t>
            </w:r>
          </w:p>
        </w:tc>
        <w:tc>
          <w:tcPr>
            <w:tcW w:w="1718" w:type="dxa"/>
          </w:tcPr>
          <w:p w14:paraId="7BF4AA2B" w14:textId="408A22E7" w:rsidR="00A55530" w:rsidRDefault="00A55530" w:rsidP="00CF18C5">
            <w:pPr>
              <w:spacing w:after="120" w:line="480" w:lineRule="auto"/>
            </w:pPr>
            <w:r w:rsidRPr="00E81647">
              <w:t>No alert</w:t>
            </w:r>
          </w:p>
        </w:tc>
        <w:tc>
          <w:tcPr>
            <w:tcW w:w="2231" w:type="dxa"/>
          </w:tcPr>
          <w:p w14:paraId="74313B63" w14:textId="2B085477" w:rsidR="00A55530" w:rsidRDefault="00A55530" w:rsidP="00CF18C5">
            <w:pPr>
              <w:spacing w:after="120" w:line="480" w:lineRule="auto"/>
            </w:pPr>
            <w:r w:rsidRPr="00975B74">
              <w:t>Target in domain of the imidazole category</w:t>
            </w:r>
          </w:p>
        </w:tc>
      </w:tr>
      <w:tr w:rsidR="00B8670D" w14:paraId="1F6267D3" w14:textId="77777777" w:rsidTr="00CA71A9">
        <w:tc>
          <w:tcPr>
            <w:tcW w:w="2122" w:type="dxa"/>
            <w:vMerge/>
          </w:tcPr>
          <w:p w14:paraId="2EEDCB93" w14:textId="77777777" w:rsidR="00B8670D" w:rsidRDefault="00B8670D" w:rsidP="00CF18C5">
            <w:pPr>
              <w:spacing w:after="120" w:line="480" w:lineRule="auto"/>
            </w:pPr>
          </w:p>
        </w:tc>
        <w:tc>
          <w:tcPr>
            <w:tcW w:w="2554" w:type="dxa"/>
          </w:tcPr>
          <w:p w14:paraId="73A79B12" w14:textId="77777777" w:rsidR="00B8670D" w:rsidRDefault="00B8670D" w:rsidP="00CF18C5">
            <w:pPr>
              <w:spacing w:after="120" w:line="480" w:lineRule="auto"/>
            </w:pPr>
            <w:r w:rsidRPr="00E745C4">
              <w:rPr>
                <w:i/>
                <w:iCs/>
              </w:rPr>
              <w:t>In silico</w:t>
            </w:r>
            <w:r w:rsidRPr="001C6E0C">
              <w:t xml:space="preserve"> screening for </w:t>
            </w:r>
            <w:r>
              <w:t>Development and Reproductive Toxicity</w:t>
            </w:r>
          </w:p>
        </w:tc>
        <w:tc>
          <w:tcPr>
            <w:tcW w:w="1701" w:type="dxa"/>
          </w:tcPr>
          <w:p w14:paraId="7FF4E51D" w14:textId="77777777" w:rsidR="00B8670D" w:rsidRDefault="00B8670D" w:rsidP="00CF18C5">
            <w:pPr>
              <w:spacing w:after="120" w:line="480" w:lineRule="auto"/>
            </w:pPr>
            <w:r>
              <w:t>A</w:t>
            </w:r>
            <w:r w:rsidRPr="001C6E0C">
              <w:t>lert</w:t>
            </w:r>
            <w:r>
              <w:t>s for i) polyhalogenated benzene derivative and ii) thiazole derivative</w:t>
            </w:r>
          </w:p>
        </w:tc>
        <w:tc>
          <w:tcPr>
            <w:tcW w:w="1701" w:type="dxa"/>
          </w:tcPr>
          <w:p w14:paraId="7106992C" w14:textId="69E85625" w:rsidR="00B8670D" w:rsidRDefault="00B8670D" w:rsidP="00CF18C5">
            <w:pPr>
              <w:spacing w:after="120" w:line="480" w:lineRule="auto"/>
            </w:pPr>
            <w:r w:rsidRPr="00EF415A">
              <w:t>Alerts for i) polyhalogenated benzene derivative and ii) thiazole derivative</w:t>
            </w:r>
          </w:p>
        </w:tc>
        <w:tc>
          <w:tcPr>
            <w:tcW w:w="1718" w:type="dxa"/>
          </w:tcPr>
          <w:p w14:paraId="082AF5C2" w14:textId="0EEF8D4C" w:rsidR="00B8670D" w:rsidRDefault="00B8670D" w:rsidP="00CF18C5">
            <w:pPr>
              <w:spacing w:after="120" w:line="480" w:lineRule="auto"/>
            </w:pPr>
            <w:r w:rsidRPr="00EF415A">
              <w:t>Target in domain of the triazole category</w:t>
            </w:r>
          </w:p>
        </w:tc>
        <w:tc>
          <w:tcPr>
            <w:tcW w:w="1718" w:type="dxa"/>
          </w:tcPr>
          <w:p w14:paraId="252F0EC5" w14:textId="2B2C6076" w:rsidR="00B8670D" w:rsidRDefault="00B8670D" w:rsidP="00CF18C5">
            <w:pPr>
              <w:spacing w:after="120" w:line="480" w:lineRule="auto"/>
            </w:pPr>
            <w:r w:rsidRPr="00EF415A">
              <w:t xml:space="preserve">Alerts for i) polyhalogenated benzene </w:t>
            </w:r>
            <w:r w:rsidR="00204809">
              <w:t>derivative and ii) imid</w:t>
            </w:r>
            <w:r w:rsidRPr="00EF415A">
              <w:t>azole derivative</w:t>
            </w:r>
          </w:p>
        </w:tc>
        <w:tc>
          <w:tcPr>
            <w:tcW w:w="2231" w:type="dxa"/>
          </w:tcPr>
          <w:p w14:paraId="195650B1" w14:textId="607D530D" w:rsidR="00B8670D" w:rsidRDefault="00B8670D" w:rsidP="00CF18C5">
            <w:pPr>
              <w:spacing w:after="120" w:line="480" w:lineRule="auto"/>
            </w:pPr>
            <w:r w:rsidRPr="00975B74">
              <w:t>Target in domain of the imidazole category</w:t>
            </w:r>
          </w:p>
        </w:tc>
      </w:tr>
      <w:tr w:rsidR="009452C6" w14:paraId="06FAA168" w14:textId="77777777" w:rsidTr="00CA71A9">
        <w:tc>
          <w:tcPr>
            <w:tcW w:w="2122" w:type="dxa"/>
            <w:vMerge/>
          </w:tcPr>
          <w:p w14:paraId="44425A52" w14:textId="77777777" w:rsidR="009452C6" w:rsidRDefault="009452C6" w:rsidP="00CF18C5">
            <w:pPr>
              <w:spacing w:after="120" w:line="480" w:lineRule="auto"/>
            </w:pPr>
          </w:p>
        </w:tc>
        <w:tc>
          <w:tcPr>
            <w:tcW w:w="2554" w:type="dxa"/>
          </w:tcPr>
          <w:p w14:paraId="408FCC43" w14:textId="421B1CE3" w:rsidR="009452C6" w:rsidRPr="00E64F79" w:rsidRDefault="009452C6" w:rsidP="00CF18C5">
            <w:pPr>
              <w:spacing w:after="120" w:line="480" w:lineRule="auto"/>
            </w:pPr>
            <w:r w:rsidRPr="009452C6">
              <w:rPr>
                <w:i/>
                <w:iCs/>
              </w:rPr>
              <w:t>In silico</w:t>
            </w:r>
            <w:r w:rsidRPr="009452C6">
              <w:t xml:space="preserve"> screening for </w:t>
            </w:r>
            <w:r w:rsidR="003F10FF">
              <w:t>protein binding</w:t>
            </w:r>
          </w:p>
        </w:tc>
        <w:tc>
          <w:tcPr>
            <w:tcW w:w="1701" w:type="dxa"/>
          </w:tcPr>
          <w:p w14:paraId="679C0353" w14:textId="5FB84878" w:rsidR="009452C6" w:rsidRPr="00E64F79" w:rsidRDefault="003F10FF" w:rsidP="00CF18C5">
            <w:pPr>
              <w:spacing w:after="120" w:line="480" w:lineRule="auto"/>
            </w:pPr>
            <w:r>
              <w:t>No alert</w:t>
            </w:r>
          </w:p>
        </w:tc>
        <w:tc>
          <w:tcPr>
            <w:tcW w:w="1701" w:type="dxa"/>
          </w:tcPr>
          <w:p w14:paraId="673870F3" w14:textId="13017822" w:rsidR="009452C6" w:rsidRPr="00917FAF" w:rsidRDefault="003F10FF" w:rsidP="00CF18C5">
            <w:pPr>
              <w:spacing w:after="120" w:line="480" w:lineRule="auto"/>
            </w:pPr>
            <w:r>
              <w:t xml:space="preserve">No alert </w:t>
            </w:r>
          </w:p>
        </w:tc>
        <w:tc>
          <w:tcPr>
            <w:tcW w:w="1718" w:type="dxa"/>
          </w:tcPr>
          <w:p w14:paraId="7B520665" w14:textId="42DD7994" w:rsidR="009452C6" w:rsidRPr="00EF415A" w:rsidRDefault="009208D1" w:rsidP="00CF18C5">
            <w:pPr>
              <w:spacing w:after="120" w:line="480" w:lineRule="auto"/>
            </w:pPr>
            <w:r w:rsidRPr="009208D1">
              <w:t>Target in domain of the triazole category</w:t>
            </w:r>
          </w:p>
        </w:tc>
        <w:tc>
          <w:tcPr>
            <w:tcW w:w="1718" w:type="dxa"/>
          </w:tcPr>
          <w:p w14:paraId="14CC5505" w14:textId="37C0A434" w:rsidR="009452C6" w:rsidRPr="00326637" w:rsidRDefault="00F05A2D" w:rsidP="00CF18C5">
            <w:pPr>
              <w:spacing w:after="120" w:line="480" w:lineRule="auto"/>
            </w:pPr>
            <w:r>
              <w:t xml:space="preserve">No alert </w:t>
            </w:r>
          </w:p>
        </w:tc>
        <w:tc>
          <w:tcPr>
            <w:tcW w:w="2231" w:type="dxa"/>
          </w:tcPr>
          <w:p w14:paraId="7DE64BE6" w14:textId="7A005DAC" w:rsidR="009452C6" w:rsidRPr="00D347C0" w:rsidRDefault="00CD7ABA" w:rsidP="00CF18C5">
            <w:pPr>
              <w:spacing w:after="120" w:line="480" w:lineRule="auto"/>
            </w:pPr>
            <w:r w:rsidRPr="00CD7ABA">
              <w:t>Target in domain of the imidazole category</w:t>
            </w:r>
          </w:p>
        </w:tc>
      </w:tr>
      <w:tr w:rsidR="00CD7ABA" w14:paraId="17D561C5" w14:textId="77777777" w:rsidTr="00CA71A9">
        <w:tc>
          <w:tcPr>
            <w:tcW w:w="2122" w:type="dxa"/>
            <w:vMerge/>
          </w:tcPr>
          <w:p w14:paraId="1D35D51C" w14:textId="77777777" w:rsidR="00CD7ABA" w:rsidRDefault="00CD7ABA" w:rsidP="00CF18C5">
            <w:pPr>
              <w:spacing w:after="120" w:line="480" w:lineRule="auto"/>
            </w:pPr>
          </w:p>
        </w:tc>
        <w:tc>
          <w:tcPr>
            <w:tcW w:w="2554" w:type="dxa"/>
          </w:tcPr>
          <w:p w14:paraId="353D4347" w14:textId="4C5175CD" w:rsidR="00CD7ABA" w:rsidRDefault="00CD7ABA" w:rsidP="00CF18C5">
            <w:pPr>
              <w:spacing w:after="120" w:line="480" w:lineRule="auto"/>
            </w:pPr>
            <w:r w:rsidRPr="009452C6">
              <w:rPr>
                <w:i/>
                <w:iCs/>
              </w:rPr>
              <w:t>In silico</w:t>
            </w:r>
            <w:r w:rsidRPr="009452C6">
              <w:t xml:space="preserve"> screening for </w:t>
            </w:r>
            <w:r>
              <w:t>DNA binding</w:t>
            </w:r>
          </w:p>
        </w:tc>
        <w:tc>
          <w:tcPr>
            <w:tcW w:w="1701" w:type="dxa"/>
          </w:tcPr>
          <w:p w14:paraId="0A4AC5CD" w14:textId="5C19B525" w:rsidR="00CD7ABA" w:rsidRDefault="00CD7ABA" w:rsidP="00CF18C5">
            <w:pPr>
              <w:spacing w:after="120" w:line="480" w:lineRule="auto"/>
            </w:pPr>
            <w:r>
              <w:t>No alert</w:t>
            </w:r>
          </w:p>
        </w:tc>
        <w:tc>
          <w:tcPr>
            <w:tcW w:w="1701" w:type="dxa"/>
          </w:tcPr>
          <w:p w14:paraId="7192F621" w14:textId="056B7D9A" w:rsidR="00CD7ABA" w:rsidRDefault="00CD7ABA" w:rsidP="00CF18C5">
            <w:pPr>
              <w:spacing w:after="120" w:line="480" w:lineRule="auto"/>
            </w:pPr>
            <w:r>
              <w:t>No alert except epoxy group in epoxiconazole</w:t>
            </w:r>
          </w:p>
        </w:tc>
        <w:tc>
          <w:tcPr>
            <w:tcW w:w="1718" w:type="dxa"/>
          </w:tcPr>
          <w:p w14:paraId="102574E5" w14:textId="27C4605B" w:rsidR="00CD7ABA" w:rsidRDefault="00CD7ABA" w:rsidP="00CF18C5">
            <w:pPr>
              <w:spacing w:after="120" w:line="480" w:lineRule="auto"/>
            </w:pPr>
            <w:r w:rsidRPr="009208D1">
              <w:t>Target in domain of the triazole category</w:t>
            </w:r>
          </w:p>
        </w:tc>
        <w:tc>
          <w:tcPr>
            <w:tcW w:w="1718" w:type="dxa"/>
          </w:tcPr>
          <w:p w14:paraId="2DF933B8" w14:textId="31E4A7AA" w:rsidR="00CD7ABA" w:rsidRDefault="00CD7ABA" w:rsidP="00CF18C5">
            <w:pPr>
              <w:spacing w:after="120" w:line="480" w:lineRule="auto"/>
            </w:pPr>
            <w:r>
              <w:t xml:space="preserve">No alert except for </w:t>
            </w:r>
            <w:proofErr w:type="spellStart"/>
            <w:r>
              <w:t>triflumizole</w:t>
            </w:r>
            <w:proofErr w:type="spellEnd"/>
            <w:r>
              <w:t xml:space="preserve"> (Schiff base formation)</w:t>
            </w:r>
          </w:p>
        </w:tc>
        <w:tc>
          <w:tcPr>
            <w:tcW w:w="2231" w:type="dxa"/>
          </w:tcPr>
          <w:p w14:paraId="4C41EAB1" w14:textId="3C878D04" w:rsidR="00CD7ABA" w:rsidRPr="00AC1530" w:rsidRDefault="00CD7ABA" w:rsidP="00CF18C5">
            <w:pPr>
              <w:spacing w:after="120" w:line="480" w:lineRule="auto"/>
            </w:pPr>
            <w:r w:rsidRPr="00CD7ABA">
              <w:t>Target in domain of the imidazole category</w:t>
            </w:r>
          </w:p>
        </w:tc>
      </w:tr>
      <w:tr w:rsidR="00CD7ABA" w14:paraId="066BF5BF" w14:textId="77777777" w:rsidTr="00CA71A9">
        <w:tc>
          <w:tcPr>
            <w:tcW w:w="2122" w:type="dxa"/>
            <w:vMerge/>
          </w:tcPr>
          <w:p w14:paraId="70147165" w14:textId="77777777" w:rsidR="00CD7ABA" w:rsidRDefault="00CD7ABA" w:rsidP="00CF18C5">
            <w:pPr>
              <w:spacing w:after="120" w:line="480" w:lineRule="auto"/>
            </w:pPr>
          </w:p>
        </w:tc>
        <w:tc>
          <w:tcPr>
            <w:tcW w:w="2554" w:type="dxa"/>
          </w:tcPr>
          <w:p w14:paraId="5B4F1DAF" w14:textId="6A99D357" w:rsidR="00CD7ABA" w:rsidRDefault="00CD7ABA" w:rsidP="00CF18C5">
            <w:pPr>
              <w:spacing w:after="120" w:line="480" w:lineRule="auto"/>
            </w:pPr>
            <w:proofErr w:type="spellStart"/>
            <w:r>
              <w:t>ToxCast</w:t>
            </w:r>
            <w:proofErr w:type="spellEnd"/>
            <w:r>
              <w:t xml:space="preserve"> </w:t>
            </w:r>
            <w:r w:rsidRPr="00E5138E">
              <w:rPr>
                <w:rFonts w:ascii="Calibri" w:hAnsi="Calibri" w:cs="Calibri"/>
                <w:color w:val="000000"/>
              </w:rPr>
              <w:t>CYP3A4, CYP1A2, CYP2C19, CYP2C9</w:t>
            </w:r>
          </w:p>
        </w:tc>
        <w:tc>
          <w:tcPr>
            <w:tcW w:w="1701" w:type="dxa"/>
          </w:tcPr>
          <w:p w14:paraId="0532B54B" w14:textId="77777777" w:rsidR="00CD7ABA" w:rsidRDefault="00CD7ABA" w:rsidP="00CF18C5">
            <w:pPr>
              <w:spacing w:after="120" w:line="480" w:lineRule="auto"/>
            </w:pPr>
            <w:r>
              <w:t>Active</w:t>
            </w:r>
          </w:p>
        </w:tc>
        <w:tc>
          <w:tcPr>
            <w:tcW w:w="1701" w:type="dxa"/>
          </w:tcPr>
          <w:p w14:paraId="0561B53F" w14:textId="782D323D" w:rsidR="00CD7ABA" w:rsidRDefault="00CD7ABA" w:rsidP="00CF18C5">
            <w:pPr>
              <w:spacing w:after="120" w:line="480" w:lineRule="auto"/>
            </w:pPr>
            <w:r w:rsidRPr="00917FAF">
              <w:t>Active</w:t>
            </w:r>
          </w:p>
        </w:tc>
        <w:tc>
          <w:tcPr>
            <w:tcW w:w="1718" w:type="dxa"/>
          </w:tcPr>
          <w:p w14:paraId="36EE9EF1" w14:textId="07E95ADD" w:rsidR="00CD7ABA" w:rsidRDefault="00CD7ABA" w:rsidP="00CF18C5">
            <w:pPr>
              <w:spacing w:after="120" w:line="480" w:lineRule="auto"/>
            </w:pPr>
            <w:r w:rsidRPr="00EF415A">
              <w:t>Target in domain of the triazole category</w:t>
            </w:r>
          </w:p>
        </w:tc>
        <w:tc>
          <w:tcPr>
            <w:tcW w:w="1718" w:type="dxa"/>
          </w:tcPr>
          <w:p w14:paraId="1072F1CE" w14:textId="5CF9411A" w:rsidR="00CD7ABA" w:rsidRDefault="00CD7ABA" w:rsidP="00CF18C5">
            <w:pPr>
              <w:spacing w:after="120" w:line="480" w:lineRule="auto"/>
            </w:pPr>
            <w:r w:rsidRPr="00326637">
              <w:t>Active</w:t>
            </w:r>
          </w:p>
        </w:tc>
        <w:tc>
          <w:tcPr>
            <w:tcW w:w="2231" w:type="dxa"/>
          </w:tcPr>
          <w:p w14:paraId="24B31CFE" w14:textId="3BBD8434" w:rsidR="00CD7ABA" w:rsidRDefault="00CD7ABA" w:rsidP="00CF18C5">
            <w:pPr>
              <w:spacing w:after="120" w:line="480" w:lineRule="auto"/>
            </w:pPr>
            <w:r w:rsidRPr="00D347C0">
              <w:t>Target in domain of the imidazole category</w:t>
            </w:r>
          </w:p>
        </w:tc>
      </w:tr>
      <w:tr w:rsidR="00CD7ABA" w14:paraId="4B4DF95F" w14:textId="77777777" w:rsidTr="00CA71A9">
        <w:tc>
          <w:tcPr>
            <w:tcW w:w="2122" w:type="dxa"/>
            <w:vMerge/>
          </w:tcPr>
          <w:p w14:paraId="76BF6013" w14:textId="77777777" w:rsidR="00CD7ABA" w:rsidRDefault="00CD7ABA" w:rsidP="00CF18C5">
            <w:pPr>
              <w:spacing w:after="120" w:line="480" w:lineRule="auto"/>
            </w:pPr>
          </w:p>
        </w:tc>
        <w:tc>
          <w:tcPr>
            <w:tcW w:w="2554" w:type="dxa"/>
          </w:tcPr>
          <w:p w14:paraId="26D5A1E1" w14:textId="77777777" w:rsidR="00CD7ABA" w:rsidRPr="006F63CC" w:rsidRDefault="00CD7ABA" w:rsidP="00CF18C5">
            <w:pPr>
              <w:spacing w:after="120" w:line="480" w:lineRule="auto"/>
              <w:rPr>
                <w:color w:val="000000" w:themeColor="text1"/>
              </w:rPr>
            </w:pPr>
            <w:r w:rsidRPr="006F63CC">
              <w:rPr>
                <w:color w:val="000000" w:themeColor="text1"/>
              </w:rPr>
              <w:t>Omics data</w:t>
            </w:r>
          </w:p>
        </w:tc>
        <w:tc>
          <w:tcPr>
            <w:tcW w:w="1701" w:type="dxa"/>
          </w:tcPr>
          <w:p w14:paraId="6CAFFAA5" w14:textId="77777777" w:rsidR="00CD7ABA" w:rsidRPr="006F63CC" w:rsidRDefault="00CD7ABA" w:rsidP="00CF18C5">
            <w:pPr>
              <w:spacing w:after="120" w:line="480" w:lineRule="auto"/>
              <w:rPr>
                <w:color w:val="000000" w:themeColor="text1"/>
              </w:rPr>
            </w:pPr>
            <w:r w:rsidRPr="006F63CC">
              <w:rPr>
                <w:color w:val="000000" w:themeColor="text1"/>
              </w:rPr>
              <w:t>None</w:t>
            </w:r>
          </w:p>
        </w:tc>
        <w:tc>
          <w:tcPr>
            <w:tcW w:w="1701" w:type="dxa"/>
          </w:tcPr>
          <w:p w14:paraId="362F77D7" w14:textId="78ED4D4F" w:rsidR="00CD7ABA" w:rsidRPr="006F63CC" w:rsidRDefault="00CD7ABA" w:rsidP="00CF18C5">
            <w:pPr>
              <w:spacing w:after="120" w:line="480" w:lineRule="auto"/>
              <w:rPr>
                <w:color w:val="000000" w:themeColor="text1"/>
              </w:rPr>
            </w:pPr>
            <w:r w:rsidRPr="006F63CC">
              <w:rPr>
                <w:color w:val="000000" w:themeColor="text1"/>
              </w:rPr>
              <w:t>None</w:t>
            </w:r>
          </w:p>
        </w:tc>
        <w:tc>
          <w:tcPr>
            <w:tcW w:w="1718" w:type="dxa"/>
          </w:tcPr>
          <w:p w14:paraId="6530083F" w14:textId="5199DE63" w:rsidR="00CD7ABA" w:rsidRPr="006F63CC" w:rsidRDefault="00CD7ABA" w:rsidP="00CF18C5">
            <w:pPr>
              <w:spacing w:after="120" w:line="480" w:lineRule="auto"/>
              <w:rPr>
                <w:color w:val="000000" w:themeColor="text1"/>
              </w:rPr>
            </w:pPr>
            <w:r w:rsidRPr="006F63CC">
              <w:rPr>
                <w:color w:val="000000" w:themeColor="text1"/>
              </w:rPr>
              <w:t>N/A</w:t>
            </w:r>
          </w:p>
        </w:tc>
        <w:tc>
          <w:tcPr>
            <w:tcW w:w="1718" w:type="dxa"/>
          </w:tcPr>
          <w:p w14:paraId="56153C29" w14:textId="6143637A" w:rsidR="00CD7ABA" w:rsidRPr="006F63CC" w:rsidRDefault="00CD7ABA" w:rsidP="00CF18C5">
            <w:pPr>
              <w:spacing w:after="120" w:line="480" w:lineRule="auto"/>
              <w:rPr>
                <w:color w:val="000000" w:themeColor="text1"/>
              </w:rPr>
            </w:pPr>
            <w:r w:rsidRPr="006F63CC">
              <w:rPr>
                <w:color w:val="000000" w:themeColor="text1"/>
              </w:rPr>
              <w:t>None</w:t>
            </w:r>
          </w:p>
        </w:tc>
        <w:tc>
          <w:tcPr>
            <w:tcW w:w="2231" w:type="dxa"/>
          </w:tcPr>
          <w:p w14:paraId="07B1CE8F" w14:textId="71C129B4" w:rsidR="00CD7ABA" w:rsidRPr="006F63CC" w:rsidRDefault="00CD7ABA" w:rsidP="00CF18C5">
            <w:pPr>
              <w:spacing w:after="120" w:line="480" w:lineRule="auto"/>
              <w:rPr>
                <w:color w:val="000000" w:themeColor="text1"/>
              </w:rPr>
            </w:pPr>
            <w:r w:rsidRPr="006F63CC">
              <w:rPr>
                <w:color w:val="000000" w:themeColor="text1"/>
              </w:rPr>
              <w:t>N/A</w:t>
            </w:r>
          </w:p>
        </w:tc>
      </w:tr>
      <w:tr w:rsidR="00CD7ABA" w14:paraId="3EB23B42" w14:textId="77777777" w:rsidTr="00CA71A9">
        <w:tc>
          <w:tcPr>
            <w:tcW w:w="2122" w:type="dxa"/>
          </w:tcPr>
          <w:p w14:paraId="021A448C" w14:textId="6A075804" w:rsidR="00CD7ABA" w:rsidRDefault="00CD7ABA" w:rsidP="006E5ECE">
            <w:pPr>
              <w:spacing w:after="120" w:line="480" w:lineRule="auto"/>
            </w:pPr>
            <w:r w:rsidRPr="00C62460">
              <w:t>Conclusion and Justification</w:t>
            </w:r>
            <w:r>
              <w:t xml:space="preserve"> for the Triazoles Category (</w:t>
            </w:r>
            <w:proofErr w:type="spellStart"/>
            <w:r>
              <w:t>Toxicodynamics</w:t>
            </w:r>
            <w:proofErr w:type="spellEnd"/>
            <w:r>
              <w:t xml:space="preserve"> Domain)</w:t>
            </w:r>
            <w:r w:rsidRPr="00C62460">
              <w:t xml:space="preserve">: </w:t>
            </w:r>
          </w:p>
        </w:tc>
        <w:tc>
          <w:tcPr>
            <w:tcW w:w="11623" w:type="dxa"/>
            <w:gridSpan w:val="6"/>
          </w:tcPr>
          <w:p w14:paraId="44C46DB9" w14:textId="4716AF8F" w:rsidR="00CD7ABA" w:rsidRDefault="00CD7ABA" w:rsidP="006E5ECE">
            <w:pPr>
              <w:spacing w:after="120" w:line="480" w:lineRule="auto"/>
            </w:pPr>
            <w:r w:rsidRPr="00C62460">
              <w:t>The target and source molecule</w:t>
            </w:r>
            <w:r>
              <w:t>s</w:t>
            </w:r>
            <w:r w:rsidRPr="00C62460">
              <w:t xml:space="preserve"> </w:t>
            </w:r>
            <w:r>
              <w:t xml:space="preserve">in the triazole category </w:t>
            </w:r>
            <w:r w:rsidRPr="00C62460">
              <w:t xml:space="preserve">are highly similar </w:t>
            </w:r>
            <w:r>
              <w:t xml:space="preserve">with regard to the toxicodynamic domain. There is strong evidence that the molecules share a common mode of action. </w:t>
            </w:r>
          </w:p>
        </w:tc>
      </w:tr>
      <w:tr w:rsidR="00CD7ABA" w14:paraId="0BE6CD62" w14:textId="77777777" w:rsidTr="00CA71A9">
        <w:tc>
          <w:tcPr>
            <w:tcW w:w="2122" w:type="dxa"/>
          </w:tcPr>
          <w:p w14:paraId="0E4CD0A0" w14:textId="32AB5185" w:rsidR="00CD7ABA" w:rsidRDefault="00CD7ABA" w:rsidP="006E5ECE">
            <w:pPr>
              <w:spacing w:after="120" w:line="480" w:lineRule="auto"/>
            </w:pPr>
            <w:r w:rsidRPr="00C62460">
              <w:t>Conclusion and Justification</w:t>
            </w:r>
            <w:r>
              <w:t xml:space="preserve"> for the </w:t>
            </w:r>
            <w:proofErr w:type="spellStart"/>
            <w:r>
              <w:t>Imidazoles</w:t>
            </w:r>
            <w:proofErr w:type="spellEnd"/>
            <w:r>
              <w:t xml:space="preserve"> Category (</w:t>
            </w:r>
            <w:proofErr w:type="spellStart"/>
            <w:r>
              <w:t>Toxicodynamics</w:t>
            </w:r>
            <w:proofErr w:type="spellEnd"/>
            <w:r>
              <w:t xml:space="preserve"> Domain)</w:t>
            </w:r>
            <w:r w:rsidRPr="00C62460">
              <w:t xml:space="preserve">: </w:t>
            </w:r>
          </w:p>
        </w:tc>
        <w:tc>
          <w:tcPr>
            <w:tcW w:w="11623" w:type="dxa"/>
            <w:gridSpan w:val="6"/>
          </w:tcPr>
          <w:p w14:paraId="33EC50DC" w14:textId="65A033F4" w:rsidR="00CD7ABA" w:rsidRDefault="00CD7ABA" w:rsidP="006E5ECE">
            <w:pPr>
              <w:spacing w:after="120" w:line="480" w:lineRule="auto"/>
            </w:pPr>
            <w:r w:rsidRPr="00C62460">
              <w:t>The target and source molecule</w:t>
            </w:r>
            <w:r>
              <w:t>s</w:t>
            </w:r>
            <w:r w:rsidRPr="00C62460">
              <w:t xml:space="preserve"> </w:t>
            </w:r>
            <w:r>
              <w:t xml:space="preserve">in the imidazole category </w:t>
            </w:r>
            <w:r w:rsidRPr="00C62460">
              <w:t xml:space="preserve">are highly similar </w:t>
            </w:r>
            <w:r>
              <w:t xml:space="preserve">with regard to the toxicodynamic domain. There is strong evidence that the molecules share a common mode of action. </w:t>
            </w:r>
          </w:p>
        </w:tc>
      </w:tr>
      <w:tr w:rsidR="00CD7ABA" w14:paraId="74310B9C" w14:textId="77777777" w:rsidTr="00CA71A9">
        <w:tc>
          <w:tcPr>
            <w:tcW w:w="13745" w:type="dxa"/>
            <w:gridSpan w:val="7"/>
          </w:tcPr>
          <w:p w14:paraId="09649EE9" w14:textId="253648FE" w:rsidR="00CD7ABA" w:rsidRDefault="00CD7ABA" w:rsidP="006E5ECE">
            <w:pPr>
              <w:spacing w:after="120" w:line="480" w:lineRule="auto"/>
            </w:pPr>
          </w:p>
        </w:tc>
      </w:tr>
      <w:tr w:rsidR="00CD7ABA" w14:paraId="01FE096F" w14:textId="77777777" w:rsidTr="00CA71A9">
        <w:tc>
          <w:tcPr>
            <w:tcW w:w="13745" w:type="dxa"/>
            <w:gridSpan w:val="7"/>
          </w:tcPr>
          <w:p w14:paraId="18975E01" w14:textId="3F9D6AF9" w:rsidR="00CD7ABA" w:rsidRPr="00CF701D" w:rsidRDefault="00CD7ABA" w:rsidP="006E5ECE">
            <w:pPr>
              <w:spacing w:after="120" w:line="480" w:lineRule="auto"/>
              <w:jc w:val="center"/>
              <w:rPr>
                <w:b/>
                <w:bCs/>
              </w:rPr>
            </w:pPr>
            <w:proofErr w:type="spellStart"/>
            <w:r w:rsidRPr="00CF701D">
              <w:rPr>
                <w:b/>
                <w:bCs/>
              </w:rPr>
              <w:t>Toxicokinetics</w:t>
            </w:r>
            <w:proofErr w:type="spellEnd"/>
          </w:p>
        </w:tc>
      </w:tr>
      <w:tr w:rsidR="00CD7ABA" w14:paraId="23C219B1" w14:textId="77777777" w:rsidTr="00CA71A9">
        <w:tc>
          <w:tcPr>
            <w:tcW w:w="13745" w:type="dxa"/>
            <w:gridSpan w:val="7"/>
          </w:tcPr>
          <w:p w14:paraId="09BC9C3A" w14:textId="079A2EA0" w:rsidR="00CD7ABA" w:rsidRDefault="00CD7ABA" w:rsidP="006E5ECE">
            <w:pPr>
              <w:spacing w:after="120" w:line="480" w:lineRule="auto"/>
            </w:pPr>
          </w:p>
        </w:tc>
      </w:tr>
      <w:tr w:rsidR="00CD7ABA" w14:paraId="1A4C30F5" w14:textId="77777777" w:rsidTr="00CA71A9">
        <w:tc>
          <w:tcPr>
            <w:tcW w:w="2122" w:type="dxa"/>
            <w:vMerge w:val="restart"/>
          </w:tcPr>
          <w:p w14:paraId="686063BF" w14:textId="71855319" w:rsidR="00CD7ABA" w:rsidRDefault="00CD7ABA" w:rsidP="006E5ECE">
            <w:pPr>
              <w:spacing w:after="120" w:line="480" w:lineRule="auto"/>
            </w:pPr>
            <w:r w:rsidRPr="005B39CD">
              <w:t>Absorption, distribution</w:t>
            </w:r>
            <w:r w:rsidR="00DE2D30">
              <w:t xml:space="preserve">, metabolism </w:t>
            </w:r>
            <w:r w:rsidRPr="005B39CD">
              <w:t>and excretion</w:t>
            </w:r>
          </w:p>
        </w:tc>
        <w:tc>
          <w:tcPr>
            <w:tcW w:w="2554" w:type="dxa"/>
          </w:tcPr>
          <w:p w14:paraId="54DF79C7" w14:textId="77777777" w:rsidR="00CD7ABA" w:rsidRDefault="00CD7ABA" w:rsidP="006E5ECE">
            <w:pPr>
              <w:spacing w:after="120" w:line="480" w:lineRule="auto"/>
            </w:pPr>
            <w:r>
              <w:t>Absorption</w:t>
            </w:r>
          </w:p>
        </w:tc>
        <w:tc>
          <w:tcPr>
            <w:tcW w:w="1701" w:type="dxa"/>
          </w:tcPr>
          <w:p w14:paraId="1C4FB24B" w14:textId="77777777" w:rsidR="00CD7ABA" w:rsidRDefault="00CD7ABA" w:rsidP="006E5ECE">
            <w:pPr>
              <w:spacing w:after="120" w:line="480" w:lineRule="auto"/>
            </w:pPr>
            <w:r>
              <w:t>Rapid</w:t>
            </w:r>
          </w:p>
        </w:tc>
        <w:tc>
          <w:tcPr>
            <w:tcW w:w="1701" w:type="dxa"/>
          </w:tcPr>
          <w:p w14:paraId="3877A969" w14:textId="1EDC79C6" w:rsidR="00CD7ABA" w:rsidRDefault="00CD7ABA" w:rsidP="006E5ECE">
            <w:pPr>
              <w:spacing w:after="120" w:line="480" w:lineRule="auto"/>
            </w:pPr>
            <w:r w:rsidRPr="000104C4">
              <w:t>Rapid</w:t>
            </w:r>
          </w:p>
        </w:tc>
        <w:tc>
          <w:tcPr>
            <w:tcW w:w="1718" w:type="dxa"/>
          </w:tcPr>
          <w:p w14:paraId="7D005FD6" w14:textId="4A792739" w:rsidR="00CD7ABA" w:rsidRDefault="00CD7ABA" w:rsidP="006E5ECE">
            <w:pPr>
              <w:spacing w:after="120" w:line="480" w:lineRule="auto"/>
            </w:pPr>
            <w:r w:rsidRPr="00A84888">
              <w:t>Target in domain of the triazole category</w:t>
            </w:r>
          </w:p>
        </w:tc>
        <w:tc>
          <w:tcPr>
            <w:tcW w:w="1718" w:type="dxa"/>
          </w:tcPr>
          <w:p w14:paraId="61AAE387" w14:textId="0C17F0B1" w:rsidR="00CD7ABA" w:rsidRDefault="00CD7ABA" w:rsidP="006E5ECE">
            <w:pPr>
              <w:spacing w:after="120" w:line="480" w:lineRule="auto"/>
            </w:pPr>
            <w:r w:rsidRPr="000104C4">
              <w:t>Rapid</w:t>
            </w:r>
          </w:p>
        </w:tc>
        <w:tc>
          <w:tcPr>
            <w:tcW w:w="2231" w:type="dxa"/>
          </w:tcPr>
          <w:p w14:paraId="73E7AFB2" w14:textId="3DE46E28" w:rsidR="00CD7ABA" w:rsidRDefault="00CD7ABA" w:rsidP="006E5ECE">
            <w:pPr>
              <w:spacing w:after="120" w:line="480" w:lineRule="auto"/>
            </w:pPr>
            <w:r w:rsidRPr="00A84888">
              <w:t>Target in domain of the imidazole category</w:t>
            </w:r>
          </w:p>
        </w:tc>
      </w:tr>
      <w:tr w:rsidR="00DE2D30" w14:paraId="34E209AB" w14:textId="77777777" w:rsidTr="00CA71A9">
        <w:tc>
          <w:tcPr>
            <w:tcW w:w="2122" w:type="dxa"/>
            <w:vMerge/>
          </w:tcPr>
          <w:p w14:paraId="18849951" w14:textId="77777777" w:rsidR="00DE2D30" w:rsidRDefault="00DE2D30" w:rsidP="00CF18C5">
            <w:pPr>
              <w:spacing w:after="120" w:line="480" w:lineRule="auto"/>
            </w:pPr>
          </w:p>
        </w:tc>
        <w:tc>
          <w:tcPr>
            <w:tcW w:w="2554" w:type="dxa"/>
          </w:tcPr>
          <w:p w14:paraId="31FA67DB" w14:textId="2D8B972D" w:rsidR="00DE2D30" w:rsidRPr="00BA3A06" w:rsidRDefault="00DE2D30" w:rsidP="00CF18C5">
            <w:pPr>
              <w:spacing w:after="120" w:line="480" w:lineRule="auto"/>
              <w:rPr>
                <w:color w:val="000000" w:themeColor="text1"/>
              </w:rPr>
            </w:pPr>
            <w:r>
              <w:t>Distribution</w:t>
            </w:r>
          </w:p>
        </w:tc>
        <w:tc>
          <w:tcPr>
            <w:tcW w:w="1701" w:type="dxa"/>
          </w:tcPr>
          <w:p w14:paraId="6E6F1592" w14:textId="5F336759" w:rsidR="00DE2D30" w:rsidRDefault="00DE2D30" w:rsidP="00CF18C5">
            <w:pPr>
              <w:spacing w:after="120" w:line="480" w:lineRule="auto"/>
            </w:pPr>
            <w:r>
              <w:t>L</w:t>
            </w:r>
            <w:r w:rsidRPr="009F1F51">
              <w:t>iver, kidneys, gonads, brain, bones</w:t>
            </w:r>
          </w:p>
        </w:tc>
        <w:tc>
          <w:tcPr>
            <w:tcW w:w="1701" w:type="dxa"/>
          </w:tcPr>
          <w:p w14:paraId="369B7A26" w14:textId="52109E8B" w:rsidR="00DE2D30" w:rsidRPr="000104C4" w:rsidRDefault="00DE2D30" w:rsidP="00CF18C5">
            <w:pPr>
              <w:spacing w:after="120" w:line="480" w:lineRule="auto"/>
            </w:pPr>
            <w:r>
              <w:t>L</w:t>
            </w:r>
            <w:r w:rsidRPr="000104C4">
              <w:t xml:space="preserve">iver and kidneys </w:t>
            </w:r>
          </w:p>
        </w:tc>
        <w:tc>
          <w:tcPr>
            <w:tcW w:w="1718" w:type="dxa"/>
          </w:tcPr>
          <w:p w14:paraId="05A9E43E" w14:textId="629F12D6" w:rsidR="00DE2D30" w:rsidRPr="00A84888" w:rsidRDefault="00DE2D30" w:rsidP="00CF18C5">
            <w:pPr>
              <w:spacing w:after="120" w:line="480" w:lineRule="auto"/>
            </w:pPr>
            <w:r>
              <w:t>Target and category both show significant distribution to the liver, therefore in domain</w:t>
            </w:r>
          </w:p>
        </w:tc>
        <w:tc>
          <w:tcPr>
            <w:tcW w:w="1718" w:type="dxa"/>
          </w:tcPr>
          <w:p w14:paraId="61A5C93B" w14:textId="0BA27B81" w:rsidR="00DE2D30" w:rsidRPr="000104C4" w:rsidRDefault="00DE2D30" w:rsidP="00CF18C5">
            <w:pPr>
              <w:spacing w:after="120" w:line="480" w:lineRule="auto"/>
            </w:pPr>
            <w:r>
              <w:t>W</w:t>
            </w:r>
            <w:r w:rsidRPr="000104C4">
              <w:t>idely</w:t>
            </w:r>
            <w:r>
              <w:t xml:space="preserve"> distributed</w:t>
            </w:r>
            <w:r w:rsidRPr="000104C4">
              <w:t>; plasma and thyroids, liver and kidneys</w:t>
            </w:r>
          </w:p>
        </w:tc>
        <w:tc>
          <w:tcPr>
            <w:tcW w:w="2231" w:type="dxa"/>
          </w:tcPr>
          <w:p w14:paraId="3025CACE" w14:textId="7368BC95" w:rsidR="00DE2D30" w:rsidRPr="00A84888" w:rsidRDefault="00DE2D30" w:rsidP="00CF18C5">
            <w:pPr>
              <w:spacing w:after="120" w:line="480" w:lineRule="auto"/>
            </w:pPr>
            <w:r w:rsidRPr="00672883">
              <w:t xml:space="preserve">Target and category both show significant distribution to the liver, </w:t>
            </w:r>
            <w:r>
              <w:t>however the wide distribution to other organs may be significant and would require further evidence</w:t>
            </w:r>
          </w:p>
        </w:tc>
      </w:tr>
      <w:tr w:rsidR="00DE2D30" w14:paraId="3AF92FA8" w14:textId="77777777" w:rsidTr="00CA71A9">
        <w:tc>
          <w:tcPr>
            <w:tcW w:w="2122" w:type="dxa"/>
            <w:vMerge/>
          </w:tcPr>
          <w:p w14:paraId="77FEF30E" w14:textId="77777777" w:rsidR="00DE2D30" w:rsidRDefault="00DE2D30" w:rsidP="00CF18C5">
            <w:pPr>
              <w:spacing w:after="120" w:line="480" w:lineRule="auto"/>
            </w:pPr>
          </w:p>
        </w:tc>
        <w:tc>
          <w:tcPr>
            <w:tcW w:w="2554" w:type="dxa"/>
          </w:tcPr>
          <w:p w14:paraId="0ABF47F1" w14:textId="77777777" w:rsidR="00DE2D30" w:rsidRPr="00BA3A06" w:rsidRDefault="00DE2D30" w:rsidP="00CF18C5">
            <w:pPr>
              <w:spacing w:after="120" w:line="480" w:lineRule="auto"/>
              <w:rPr>
                <w:color w:val="000000" w:themeColor="text1"/>
              </w:rPr>
            </w:pPr>
            <w:r w:rsidRPr="00BA3A06">
              <w:rPr>
                <w:color w:val="000000" w:themeColor="text1"/>
              </w:rPr>
              <w:t>Metabolism</w:t>
            </w:r>
          </w:p>
        </w:tc>
        <w:tc>
          <w:tcPr>
            <w:tcW w:w="1701" w:type="dxa"/>
          </w:tcPr>
          <w:p w14:paraId="673792BC" w14:textId="77777777" w:rsidR="00DE2D30" w:rsidRDefault="00DE2D30" w:rsidP="00CF18C5">
            <w:pPr>
              <w:spacing w:after="120" w:line="480" w:lineRule="auto"/>
            </w:pPr>
            <w:r>
              <w:t>Extensive</w:t>
            </w:r>
          </w:p>
        </w:tc>
        <w:tc>
          <w:tcPr>
            <w:tcW w:w="1701" w:type="dxa"/>
          </w:tcPr>
          <w:p w14:paraId="5A051A40" w14:textId="0C7ADAE7" w:rsidR="00DE2D30" w:rsidRDefault="00DE2D30" w:rsidP="00CF18C5">
            <w:pPr>
              <w:spacing w:after="120" w:line="480" w:lineRule="auto"/>
            </w:pPr>
            <w:r w:rsidRPr="000104C4">
              <w:t>Extensive</w:t>
            </w:r>
          </w:p>
        </w:tc>
        <w:tc>
          <w:tcPr>
            <w:tcW w:w="1718" w:type="dxa"/>
          </w:tcPr>
          <w:p w14:paraId="385233A6" w14:textId="24E289DA" w:rsidR="00DE2D30" w:rsidRDefault="00DE2D30" w:rsidP="00CF18C5">
            <w:pPr>
              <w:spacing w:after="120" w:line="480" w:lineRule="auto"/>
            </w:pPr>
            <w:r w:rsidRPr="00A84888">
              <w:t>Target in domain of the triazole category</w:t>
            </w:r>
          </w:p>
        </w:tc>
        <w:tc>
          <w:tcPr>
            <w:tcW w:w="1718" w:type="dxa"/>
          </w:tcPr>
          <w:p w14:paraId="10CCEEEE" w14:textId="0D795FE4" w:rsidR="00DE2D30" w:rsidRDefault="00DE2D30" w:rsidP="00CF18C5">
            <w:pPr>
              <w:spacing w:after="120" w:line="480" w:lineRule="auto"/>
            </w:pPr>
            <w:r w:rsidRPr="000104C4">
              <w:t>Extensive</w:t>
            </w:r>
          </w:p>
        </w:tc>
        <w:tc>
          <w:tcPr>
            <w:tcW w:w="2231" w:type="dxa"/>
          </w:tcPr>
          <w:p w14:paraId="20F6E699" w14:textId="7F62BE55" w:rsidR="00DE2D30" w:rsidRDefault="00DE2D30" w:rsidP="00CF18C5">
            <w:pPr>
              <w:spacing w:after="120" w:line="480" w:lineRule="auto"/>
            </w:pPr>
            <w:r w:rsidRPr="00A84888">
              <w:t>Target in domain of the imidazole category</w:t>
            </w:r>
          </w:p>
        </w:tc>
      </w:tr>
      <w:tr w:rsidR="00DE2D30" w14:paraId="2C4F52F1" w14:textId="77777777" w:rsidTr="00CA71A9">
        <w:tc>
          <w:tcPr>
            <w:tcW w:w="2122" w:type="dxa"/>
            <w:vMerge/>
          </w:tcPr>
          <w:p w14:paraId="34944A3F" w14:textId="77777777" w:rsidR="00DE2D30" w:rsidRDefault="00DE2D30" w:rsidP="00CF18C5">
            <w:pPr>
              <w:spacing w:after="120" w:line="480" w:lineRule="auto"/>
            </w:pPr>
          </w:p>
        </w:tc>
        <w:tc>
          <w:tcPr>
            <w:tcW w:w="2554" w:type="dxa"/>
          </w:tcPr>
          <w:p w14:paraId="37F1131A" w14:textId="77777777" w:rsidR="00DE2D30" w:rsidRDefault="00DE2D30" w:rsidP="00CF18C5">
            <w:pPr>
              <w:spacing w:after="120" w:line="480" w:lineRule="auto"/>
            </w:pPr>
            <w:r>
              <w:t>Half-life (hours)</w:t>
            </w:r>
          </w:p>
        </w:tc>
        <w:tc>
          <w:tcPr>
            <w:tcW w:w="1701" w:type="dxa"/>
          </w:tcPr>
          <w:p w14:paraId="36769979" w14:textId="77777777" w:rsidR="00DE2D30" w:rsidRDefault="00DE2D30" w:rsidP="00CF18C5">
            <w:pPr>
              <w:spacing w:after="120" w:line="480" w:lineRule="auto"/>
            </w:pPr>
            <w:r w:rsidRPr="009F1F51">
              <w:t>&lt; 24</w:t>
            </w:r>
          </w:p>
        </w:tc>
        <w:tc>
          <w:tcPr>
            <w:tcW w:w="1701" w:type="dxa"/>
          </w:tcPr>
          <w:p w14:paraId="7EEA864D" w14:textId="184FED50" w:rsidR="00DE2D30" w:rsidRDefault="00DE2D30" w:rsidP="00CF18C5">
            <w:pPr>
              <w:spacing w:after="120" w:line="480" w:lineRule="auto"/>
            </w:pPr>
            <w:r w:rsidRPr="000104C4">
              <w:t>&lt; 96</w:t>
            </w:r>
          </w:p>
        </w:tc>
        <w:tc>
          <w:tcPr>
            <w:tcW w:w="1718" w:type="dxa"/>
          </w:tcPr>
          <w:p w14:paraId="76A3DE96" w14:textId="4E069901" w:rsidR="00DE2D30" w:rsidRDefault="00DE2D30" w:rsidP="00CF18C5">
            <w:pPr>
              <w:spacing w:after="120" w:line="480" w:lineRule="auto"/>
            </w:pPr>
            <w:r w:rsidRPr="00672883">
              <w:t>Target in domain of the triazole category</w:t>
            </w:r>
          </w:p>
        </w:tc>
        <w:tc>
          <w:tcPr>
            <w:tcW w:w="1718" w:type="dxa"/>
          </w:tcPr>
          <w:p w14:paraId="062F45E4" w14:textId="7F6AEB8D" w:rsidR="00DE2D30" w:rsidRDefault="00DE2D30" w:rsidP="00CF18C5">
            <w:pPr>
              <w:spacing w:after="120" w:line="480" w:lineRule="auto"/>
            </w:pPr>
            <w:r w:rsidRPr="000104C4">
              <w:t>&lt; 96 (not available for all)</w:t>
            </w:r>
          </w:p>
        </w:tc>
        <w:tc>
          <w:tcPr>
            <w:tcW w:w="2231" w:type="dxa"/>
          </w:tcPr>
          <w:p w14:paraId="5E98F080" w14:textId="342A5F49" w:rsidR="00DE2D30" w:rsidRDefault="00DE2D30" w:rsidP="00CF18C5">
            <w:pPr>
              <w:spacing w:after="120" w:line="480" w:lineRule="auto"/>
            </w:pPr>
            <w:r w:rsidRPr="00672883">
              <w:t>Target in domain of the imidazole category</w:t>
            </w:r>
          </w:p>
        </w:tc>
      </w:tr>
      <w:tr w:rsidR="00DE2D30" w14:paraId="200F713F" w14:textId="77777777" w:rsidTr="00CA71A9">
        <w:tc>
          <w:tcPr>
            <w:tcW w:w="2122" w:type="dxa"/>
            <w:vMerge/>
          </w:tcPr>
          <w:p w14:paraId="7A2DA55D" w14:textId="77777777" w:rsidR="00DE2D30" w:rsidRDefault="00DE2D30" w:rsidP="00CF18C5">
            <w:pPr>
              <w:spacing w:after="120" w:line="480" w:lineRule="auto"/>
            </w:pPr>
          </w:p>
        </w:tc>
        <w:tc>
          <w:tcPr>
            <w:tcW w:w="2554" w:type="dxa"/>
          </w:tcPr>
          <w:p w14:paraId="442DDB5E" w14:textId="77777777" w:rsidR="00DE2D30" w:rsidRDefault="00DE2D30" w:rsidP="00CF18C5">
            <w:pPr>
              <w:spacing w:after="120" w:line="480" w:lineRule="auto"/>
            </w:pPr>
            <w:r>
              <w:t>PBPK (liver maximum plasma concentration (</w:t>
            </w:r>
            <w:proofErr w:type="spellStart"/>
            <w:r>
              <w:t>Cmax</w:t>
            </w:r>
            <w:proofErr w:type="spellEnd"/>
            <w:r>
              <w:t>)) (</w:t>
            </w:r>
            <w:r w:rsidRPr="00533AE4">
              <w:t>ng/mL</w:t>
            </w:r>
            <w:r>
              <w:t>)</w:t>
            </w:r>
          </w:p>
        </w:tc>
        <w:tc>
          <w:tcPr>
            <w:tcW w:w="1701" w:type="dxa"/>
          </w:tcPr>
          <w:p w14:paraId="2E458548" w14:textId="77777777" w:rsidR="00DE2D30" w:rsidRDefault="00DE2D30" w:rsidP="00CF18C5">
            <w:pPr>
              <w:spacing w:after="120" w:line="480" w:lineRule="auto"/>
            </w:pPr>
            <w:r>
              <w:t>37.1</w:t>
            </w:r>
          </w:p>
        </w:tc>
        <w:tc>
          <w:tcPr>
            <w:tcW w:w="1701" w:type="dxa"/>
          </w:tcPr>
          <w:p w14:paraId="3C16F6B8" w14:textId="0B71A819" w:rsidR="00DE2D30" w:rsidRDefault="00DE2D30" w:rsidP="00CF18C5">
            <w:pPr>
              <w:spacing w:after="120" w:line="480" w:lineRule="auto"/>
            </w:pPr>
            <w:r w:rsidRPr="000104C4">
              <w:t>10.25 – 55.12</w:t>
            </w:r>
          </w:p>
        </w:tc>
        <w:tc>
          <w:tcPr>
            <w:tcW w:w="1718" w:type="dxa"/>
          </w:tcPr>
          <w:p w14:paraId="2A779371" w14:textId="2C5B01E5" w:rsidR="00DE2D30" w:rsidRDefault="00DE2D30" w:rsidP="00CF18C5">
            <w:pPr>
              <w:spacing w:after="120" w:line="480" w:lineRule="auto"/>
            </w:pPr>
            <w:r w:rsidRPr="00A84888">
              <w:t>Target in domain of the triazole category</w:t>
            </w:r>
          </w:p>
        </w:tc>
        <w:tc>
          <w:tcPr>
            <w:tcW w:w="1718" w:type="dxa"/>
          </w:tcPr>
          <w:p w14:paraId="5803C955" w14:textId="64209150" w:rsidR="00DE2D30" w:rsidRDefault="00DE2D30" w:rsidP="00CF18C5">
            <w:pPr>
              <w:spacing w:after="120" w:line="480" w:lineRule="auto"/>
            </w:pPr>
            <w:r w:rsidRPr="000104C4">
              <w:t xml:space="preserve">9.75 – </w:t>
            </w:r>
            <w:r w:rsidRPr="00A12DC6">
              <w:t xml:space="preserve">46.48 </w:t>
            </w:r>
          </w:p>
        </w:tc>
        <w:tc>
          <w:tcPr>
            <w:tcW w:w="2231" w:type="dxa"/>
          </w:tcPr>
          <w:p w14:paraId="244FAF93" w14:textId="3F5275BE" w:rsidR="00DE2D30" w:rsidRDefault="00DE2D30" w:rsidP="00CF18C5">
            <w:pPr>
              <w:spacing w:after="120" w:line="480" w:lineRule="auto"/>
            </w:pPr>
            <w:r w:rsidRPr="00A84888">
              <w:t>Target in domain of the imidazole category</w:t>
            </w:r>
          </w:p>
        </w:tc>
      </w:tr>
      <w:tr w:rsidR="00DE2D30" w14:paraId="1B6E1B70" w14:textId="77777777" w:rsidTr="00CA71A9">
        <w:tc>
          <w:tcPr>
            <w:tcW w:w="2122" w:type="dxa"/>
            <w:vMerge/>
          </w:tcPr>
          <w:p w14:paraId="0B78455F" w14:textId="77777777" w:rsidR="00DE2D30" w:rsidRDefault="00DE2D30" w:rsidP="00CF18C5">
            <w:pPr>
              <w:spacing w:after="120" w:line="480" w:lineRule="auto"/>
            </w:pPr>
          </w:p>
        </w:tc>
        <w:tc>
          <w:tcPr>
            <w:tcW w:w="2554" w:type="dxa"/>
          </w:tcPr>
          <w:p w14:paraId="200A0BEE" w14:textId="77777777" w:rsidR="00DE2D30" w:rsidRDefault="00DE2D30" w:rsidP="00CF18C5">
            <w:pPr>
              <w:spacing w:after="120" w:line="480" w:lineRule="auto"/>
            </w:pPr>
            <w:r>
              <w:t>PBPK (Steady-state plasma concentration (</w:t>
            </w:r>
            <w:proofErr w:type="spellStart"/>
            <w:r>
              <w:t>Css</w:t>
            </w:r>
            <w:proofErr w:type="spellEnd"/>
            <w:r>
              <w:t>)) (</w:t>
            </w:r>
            <w:proofErr w:type="spellStart"/>
            <w:r>
              <w:rPr>
                <w:rFonts w:cstheme="minorHAnsi"/>
              </w:rPr>
              <w:t>μ</w:t>
            </w:r>
            <w:r>
              <w:t>M</w:t>
            </w:r>
            <w:proofErr w:type="spellEnd"/>
            <w:r>
              <w:t>)</w:t>
            </w:r>
          </w:p>
        </w:tc>
        <w:tc>
          <w:tcPr>
            <w:tcW w:w="1701" w:type="dxa"/>
          </w:tcPr>
          <w:p w14:paraId="3C7868B3" w14:textId="77777777" w:rsidR="00DE2D30" w:rsidRDefault="00DE2D30" w:rsidP="00CF18C5">
            <w:pPr>
              <w:spacing w:after="120" w:line="480" w:lineRule="auto"/>
            </w:pPr>
            <w:r>
              <w:t>50.1</w:t>
            </w:r>
          </w:p>
        </w:tc>
        <w:tc>
          <w:tcPr>
            <w:tcW w:w="1701" w:type="dxa"/>
          </w:tcPr>
          <w:p w14:paraId="7255808D" w14:textId="1F1B8850" w:rsidR="00DE2D30" w:rsidRDefault="00DE2D30" w:rsidP="00CF18C5">
            <w:pPr>
              <w:spacing w:after="120" w:line="480" w:lineRule="auto"/>
            </w:pPr>
            <w:r w:rsidRPr="000104C4">
              <w:t>0.43 - 83.66</w:t>
            </w:r>
          </w:p>
        </w:tc>
        <w:tc>
          <w:tcPr>
            <w:tcW w:w="1718" w:type="dxa"/>
          </w:tcPr>
          <w:p w14:paraId="42B44F0E" w14:textId="20DB544B" w:rsidR="00DE2D30" w:rsidRDefault="00DE2D30" w:rsidP="00CF18C5">
            <w:pPr>
              <w:spacing w:after="120" w:line="480" w:lineRule="auto"/>
            </w:pPr>
            <w:r w:rsidRPr="00A84888">
              <w:t>Target in domain of the triazole category</w:t>
            </w:r>
          </w:p>
        </w:tc>
        <w:tc>
          <w:tcPr>
            <w:tcW w:w="1718" w:type="dxa"/>
          </w:tcPr>
          <w:p w14:paraId="6CBFBC45" w14:textId="526F8C4C" w:rsidR="00DE2D30" w:rsidRDefault="00DE2D30" w:rsidP="00CF18C5">
            <w:pPr>
              <w:spacing w:after="120" w:line="480" w:lineRule="auto"/>
            </w:pPr>
            <w:r w:rsidRPr="000104C4">
              <w:t xml:space="preserve">0.33 </w:t>
            </w:r>
            <w:r>
              <w:t>–</w:t>
            </w:r>
            <w:r w:rsidRPr="000104C4">
              <w:t xml:space="preserve"> 77</w:t>
            </w:r>
            <w:r>
              <w:t>.</w:t>
            </w:r>
            <w:r w:rsidRPr="000104C4">
              <w:t>86</w:t>
            </w:r>
          </w:p>
        </w:tc>
        <w:tc>
          <w:tcPr>
            <w:tcW w:w="2231" w:type="dxa"/>
          </w:tcPr>
          <w:p w14:paraId="12A69350" w14:textId="65EE43FB" w:rsidR="00DE2D30" w:rsidRDefault="00DE2D30" w:rsidP="00CF18C5">
            <w:pPr>
              <w:spacing w:after="120" w:line="480" w:lineRule="auto"/>
            </w:pPr>
            <w:r w:rsidRPr="00A84888">
              <w:t>Target in domain of the imidazole category</w:t>
            </w:r>
          </w:p>
        </w:tc>
      </w:tr>
      <w:tr w:rsidR="00DE2D30" w14:paraId="1FB13B9F" w14:textId="77777777" w:rsidTr="00CA71A9">
        <w:tc>
          <w:tcPr>
            <w:tcW w:w="2122" w:type="dxa"/>
          </w:tcPr>
          <w:p w14:paraId="6A1F5414" w14:textId="1F338320" w:rsidR="00DE2D30" w:rsidRDefault="00DE2D30" w:rsidP="006E5ECE">
            <w:pPr>
              <w:spacing w:after="120" w:line="480" w:lineRule="auto"/>
            </w:pPr>
            <w:r>
              <w:rPr>
                <w:color w:val="000000" w:themeColor="text1"/>
              </w:rPr>
              <w:t>Metabolite formation</w:t>
            </w:r>
          </w:p>
        </w:tc>
        <w:tc>
          <w:tcPr>
            <w:tcW w:w="2554" w:type="dxa"/>
          </w:tcPr>
          <w:p w14:paraId="4EE96C8A" w14:textId="77777777" w:rsidR="00DE2D30" w:rsidRDefault="00DE2D30" w:rsidP="006E5ECE">
            <w:pPr>
              <w:spacing w:after="120" w:line="480" w:lineRule="auto"/>
            </w:pPr>
            <w:r w:rsidRPr="00A22A84">
              <w:t>Major and significant metabolites</w:t>
            </w:r>
          </w:p>
        </w:tc>
        <w:tc>
          <w:tcPr>
            <w:tcW w:w="1701" w:type="dxa"/>
          </w:tcPr>
          <w:p w14:paraId="6BF5CBD6" w14:textId="6D13E5E1" w:rsidR="00DE2D30" w:rsidRPr="003A77DC" w:rsidRDefault="00DE2D30" w:rsidP="006E5ECE">
            <w:pPr>
              <w:spacing w:after="120" w:line="480" w:lineRule="auto"/>
              <w:rPr>
                <w:color w:val="000000" w:themeColor="text1"/>
              </w:rPr>
            </w:pPr>
            <w:r w:rsidRPr="007839A0">
              <w:t>1,2,4‐triazole</w:t>
            </w:r>
            <w:r>
              <w:t xml:space="preserve">; </w:t>
            </w:r>
            <w:r w:rsidRPr="007839A0">
              <w:t>triazole alanine;</w:t>
            </w:r>
            <w:r>
              <w:t xml:space="preserve"> </w:t>
            </w:r>
            <w:r w:rsidRPr="007839A0">
              <w:t>triazole acetic acid</w:t>
            </w:r>
          </w:p>
        </w:tc>
        <w:tc>
          <w:tcPr>
            <w:tcW w:w="1701" w:type="dxa"/>
          </w:tcPr>
          <w:p w14:paraId="4F99CB8D" w14:textId="2F66ECB0" w:rsidR="00DE2D30" w:rsidRPr="003A77DC" w:rsidRDefault="00DE2D30" w:rsidP="006E5ECE">
            <w:pPr>
              <w:spacing w:after="120" w:line="480" w:lineRule="auto"/>
              <w:rPr>
                <w:color w:val="000000" w:themeColor="text1"/>
              </w:rPr>
            </w:pPr>
            <w:r w:rsidRPr="007839A0">
              <w:t>1,2,4‐triazole</w:t>
            </w:r>
            <w:r>
              <w:t xml:space="preserve">; </w:t>
            </w:r>
            <w:r w:rsidRPr="007839A0">
              <w:t>triazole alanine;</w:t>
            </w:r>
            <w:r>
              <w:t xml:space="preserve"> </w:t>
            </w:r>
            <w:r w:rsidRPr="007839A0">
              <w:t>triazole acetic acid</w:t>
            </w:r>
          </w:p>
        </w:tc>
        <w:tc>
          <w:tcPr>
            <w:tcW w:w="1718" w:type="dxa"/>
          </w:tcPr>
          <w:p w14:paraId="4E51E2CC" w14:textId="2BB2A6FD" w:rsidR="00DE2D30" w:rsidRDefault="00DE2D30" w:rsidP="006E5ECE">
            <w:pPr>
              <w:spacing w:after="120" w:line="480" w:lineRule="auto"/>
            </w:pPr>
            <w:r w:rsidRPr="00A84888">
              <w:t>Target in domain of the triazole category</w:t>
            </w:r>
          </w:p>
        </w:tc>
        <w:tc>
          <w:tcPr>
            <w:tcW w:w="1718" w:type="dxa"/>
          </w:tcPr>
          <w:p w14:paraId="5A22AEF9" w14:textId="2A74BB91" w:rsidR="00DE2D30" w:rsidRPr="00932834" w:rsidRDefault="00DE2D30" w:rsidP="006E5ECE">
            <w:pPr>
              <w:spacing w:after="120" w:line="480" w:lineRule="auto"/>
              <w:rPr>
                <w:highlight w:val="yellow"/>
              </w:rPr>
            </w:pPr>
            <w:r w:rsidRPr="00932834">
              <w:rPr>
                <w:rFonts w:cstheme="minorHAnsi"/>
                <w:shd w:val="clear" w:color="auto" w:fill="FFFFFF"/>
              </w:rPr>
              <w:t>Cleavage to the imidazole ring</w:t>
            </w:r>
            <w:r w:rsidRPr="00932834" w:rsidDel="00993DC6">
              <w:rPr>
                <w:rFonts w:cstheme="minorHAnsi"/>
              </w:rPr>
              <w:t xml:space="preserve"> </w:t>
            </w:r>
            <w:r w:rsidRPr="00932834">
              <w:rPr>
                <w:rFonts w:cstheme="minorHAnsi"/>
              </w:rPr>
              <w:t>in some of the compounds</w:t>
            </w:r>
            <w:r w:rsidRPr="00932834">
              <w:t xml:space="preserve"> </w:t>
            </w:r>
          </w:p>
        </w:tc>
        <w:tc>
          <w:tcPr>
            <w:tcW w:w="2231" w:type="dxa"/>
          </w:tcPr>
          <w:p w14:paraId="7F9F5C9F" w14:textId="18E9DF1E" w:rsidR="00DE2D30" w:rsidRDefault="00DE2D30" w:rsidP="006E5ECE">
            <w:pPr>
              <w:spacing w:after="120" w:line="480" w:lineRule="auto"/>
            </w:pPr>
            <w:r>
              <w:t xml:space="preserve">Target is not in the metabolic domain of the </w:t>
            </w:r>
            <w:proofErr w:type="spellStart"/>
            <w:r>
              <w:t>imidazoles</w:t>
            </w:r>
            <w:proofErr w:type="spellEnd"/>
            <w:r>
              <w:t xml:space="preserve">. Further evidence would be required to assess the potential for the different </w:t>
            </w:r>
            <w:proofErr w:type="spellStart"/>
            <w:r>
              <w:t>imidazoles</w:t>
            </w:r>
            <w:proofErr w:type="spellEnd"/>
            <w:r>
              <w:t xml:space="preserve"> to affect the toxicity outcome</w:t>
            </w:r>
          </w:p>
        </w:tc>
      </w:tr>
      <w:tr w:rsidR="00DE2D30" w14:paraId="21FCAD42" w14:textId="77777777" w:rsidTr="00CA71A9">
        <w:tc>
          <w:tcPr>
            <w:tcW w:w="2122" w:type="dxa"/>
          </w:tcPr>
          <w:p w14:paraId="697E326E" w14:textId="50BB8404" w:rsidR="00DE2D30" w:rsidRDefault="00DE2D30" w:rsidP="006E5ECE">
            <w:pPr>
              <w:spacing w:after="120" w:line="480" w:lineRule="auto"/>
            </w:pPr>
            <w:r w:rsidRPr="00C62460">
              <w:t>Conclusion and Justification</w:t>
            </w:r>
            <w:r>
              <w:t xml:space="preserve"> for the Triazoles Category (</w:t>
            </w:r>
            <w:proofErr w:type="spellStart"/>
            <w:r>
              <w:t>Toxicokinetics</w:t>
            </w:r>
            <w:proofErr w:type="spellEnd"/>
            <w:r>
              <w:t xml:space="preserve"> Domain)</w:t>
            </w:r>
            <w:r w:rsidRPr="00C62460">
              <w:t xml:space="preserve">: </w:t>
            </w:r>
          </w:p>
        </w:tc>
        <w:tc>
          <w:tcPr>
            <w:tcW w:w="11623" w:type="dxa"/>
            <w:gridSpan w:val="6"/>
          </w:tcPr>
          <w:p w14:paraId="2961A4D1" w14:textId="7D28C60A" w:rsidR="00DE2D30" w:rsidRDefault="00DE2D30" w:rsidP="006E5ECE">
            <w:pPr>
              <w:spacing w:after="120" w:line="480" w:lineRule="auto"/>
            </w:pPr>
            <w:r w:rsidRPr="00C62460">
              <w:t>The target and source molecule</w:t>
            </w:r>
            <w:r>
              <w:t>s in the triazole category</w:t>
            </w:r>
            <w:r w:rsidRPr="00C62460">
              <w:t xml:space="preserve"> are highly similar </w:t>
            </w:r>
            <w:r>
              <w:t xml:space="preserve">with regard to the </w:t>
            </w:r>
            <w:proofErr w:type="spellStart"/>
            <w:r>
              <w:t>toxicokinetics</w:t>
            </w:r>
            <w:proofErr w:type="spellEnd"/>
            <w:r>
              <w:t xml:space="preserve"> domain. There is strong evidence that the molecules have similar absorption, distribution and excretion properties and no difference in major and significant metabolites. </w:t>
            </w:r>
          </w:p>
        </w:tc>
      </w:tr>
      <w:tr w:rsidR="00DE2D30" w14:paraId="59F07812" w14:textId="77777777" w:rsidTr="00CA71A9">
        <w:tc>
          <w:tcPr>
            <w:tcW w:w="2122" w:type="dxa"/>
          </w:tcPr>
          <w:p w14:paraId="2DFB1754" w14:textId="5FA6406F" w:rsidR="00DE2D30" w:rsidRDefault="00DE2D30" w:rsidP="006E5ECE">
            <w:pPr>
              <w:spacing w:after="120" w:line="480" w:lineRule="auto"/>
            </w:pPr>
            <w:r w:rsidRPr="00C62460">
              <w:t>Conclusion and Justification</w:t>
            </w:r>
            <w:r>
              <w:t xml:space="preserve"> for the </w:t>
            </w:r>
            <w:proofErr w:type="spellStart"/>
            <w:r>
              <w:t>Imidazoles</w:t>
            </w:r>
            <w:proofErr w:type="spellEnd"/>
            <w:r>
              <w:t xml:space="preserve"> Category (</w:t>
            </w:r>
            <w:proofErr w:type="spellStart"/>
            <w:r>
              <w:t>Toxicokinetics</w:t>
            </w:r>
            <w:proofErr w:type="spellEnd"/>
            <w:r>
              <w:t xml:space="preserve"> Domain)</w:t>
            </w:r>
            <w:r w:rsidRPr="00C62460">
              <w:t xml:space="preserve">: </w:t>
            </w:r>
          </w:p>
        </w:tc>
        <w:tc>
          <w:tcPr>
            <w:tcW w:w="11623" w:type="dxa"/>
            <w:gridSpan w:val="6"/>
          </w:tcPr>
          <w:p w14:paraId="14BAB64E" w14:textId="1A92F0D5" w:rsidR="00DE2D30" w:rsidRDefault="00DE2D30" w:rsidP="006E5ECE">
            <w:pPr>
              <w:spacing w:after="120" w:line="480" w:lineRule="auto"/>
            </w:pPr>
            <w:r w:rsidRPr="00C62460">
              <w:t>The target and source molecule</w:t>
            </w:r>
            <w:r>
              <w:t>s in the imidazole category</w:t>
            </w:r>
            <w:r w:rsidRPr="00C62460">
              <w:t xml:space="preserve"> are </w:t>
            </w:r>
            <w:r>
              <w:t>moderately</w:t>
            </w:r>
            <w:r w:rsidRPr="00C62460">
              <w:t xml:space="preserve"> similar </w:t>
            </w:r>
            <w:r>
              <w:t xml:space="preserve">with regard to the </w:t>
            </w:r>
            <w:proofErr w:type="spellStart"/>
            <w:r>
              <w:t>toxicokinetics</w:t>
            </w:r>
            <w:proofErr w:type="spellEnd"/>
            <w:r>
              <w:t xml:space="preserve"> domain. There is evidence that some, but not all, molecules in the category have similar absorption, distribution and excretion properties. There is a difference in major and significant metabolites. Further evidence of the </w:t>
            </w:r>
            <w:proofErr w:type="spellStart"/>
            <w:r>
              <w:t>toxicokinetics</w:t>
            </w:r>
            <w:proofErr w:type="spellEnd"/>
            <w:r>
              <w:t xml:space="preserve"> properties may be required to reduce uncertainty.</w:t>
            </w:r>
          </w:p>
        </w:tc>
      </w:tr>
      <w:tr w:rsidR="00DE2D30" w14:paraId="05D8B880" w14:textId="77777777" w:rsidTr="00CA71A9">
        <w:tc>
          <w:tcPr>
            <w:tcW w:w="2122" w:type="dxa"/>
          </w:tcPr>
          <w:p w14:paraId="758F93D1" w14:textId="77777777" w:rsidR="00DE2D30" w:rsidRPr="00C62460" w:rsidRDefault="00DE2D30" w:rsidP="006E5ECE">
            <w:pPr>
              <w:spacing w:after="120" w:line="480" w:lineRule="auto"/>
            </w:pPr>
          </w:p>
        </w:tc>
        <w:tc>
          <w:tcPr>
            <w:tcW w:w="11623" w:type="dxa"/>
            <w:gridSpan w:val="6"/>
          </w:tcPr>
          <w:p w14:paraId="2026A6C6" w14:textId="77777777" w:rsidR="00DE2D30" w:rsidRPr="00C62460" w:rsidRDefault="00DE2D30" w:rsidP="006E5ECE">
            <w:pPr>
              <w:spacing w:after="120" w:line="480" w:lineRule="auto"/>
            </w:pPr>
          </w:p>
        </w:tc>
      </w:tr>
      <w:tr w:rsidR="00DE2D30" w14:paraId="6FB83CA3" w14:textId="77777777" w:rsidTr="00CA71A9">
        <w:tc>
          <w:tcPr>
            <w:tcW w:w="2122" w:type="dxa"/>
          </w:tcPr>
          <w:p w14:paraId="662AAD50" w14:textId="478D41DF" w:rsidR="00DE2D30" w:rsidRPr="00C62460" w:rsidRDefault="00DE2D30" w:rsidP="006E5ECE">
            <w:pPr>
              <w:spacing w:after="120" w:line="480" w:lineRule="auto"/>
            </w:pPr>
            <w:r>
              <w:t xml:space="preserve">Overall </w:t>
            </w:r>
            <w:r w:rsidRPr="00C62460">
              <w:t>Conclusion and Justification</w:t>
            </w:r>
            <w:r>
              <w:t xml:space="preserve"> for the Triazole Category</w:t>
            </w:r>
            <w:r w:rsidRPr="00C62460">
              <w:t>:</w:t>
            </w:r>
          </w:p>
        </w:tc>
        <w:tc>
          <w:tcPr>
            <w:tcW w:w="11623" w:type="dxa"/>
            <w:gridSpan w:val="6"/>
          </w:tcPr>
          <w:p w14:paraId="0E47B35A" w14:textId="0747C803" w:rsidR="00DE2D30" w:rsidRPr="00C62460" w:rsidRDefault="00DE2D30" w:rsidP="006E5ECE">
            <w:pPr>
              <w:spacing w:after="120" w:line="480" w:lineRule="auto"/>
            </w:pPr>
            <w:r w:rsidRPr="00C62460">
              <w:t>The</w:t>
            </w:r>
            <w:r>
              <w:t>re is strong evidence that</w:t>
            </w:r>
            <w:r w:rsidRPr="00C62460">
              <w:t xml:space="preserve"> target and source</w:t>
            </w:r>
            <w:r>
              <w:t xml:space="preserve"> the</w:t>
            </w:r>
            <w:r w:rsidRPr="00C62460">
              <w:t xml:space="preserve"> molecule</w:t>
            </w:r>
            <w:r>
              <w:t>s</w:t>
            </w:r>
            <w:r w:rsidRPr="00C62460">
              <w:t xml:space="preserve"> are highly similar </w:t>
            </w:r>
            <w:r>
              <w:t>with regard to the read-across domain indicating low uncertainty with regard to their similarity. The target molecule is highly likely to be a member of this category and the conservative read-across of a NOAEL is justified.</w:t>
            </w:r>
          </w:p>
        </w:tc>
      </w:tr>
      <w:tr w:rsidR="00DE2D30" w14:paraId="7ECCBD2B" w14:textId="77777777" w:rsidTr="00CA71A9">
        <w:tc>
          <w:tcPr>
            <w:tcW w:w="2122" w:type="dxa"/>
          </w:tcPr>
          <w:p w14:paraId="56296425" w14:textId="1124DFC2" w:rsidR="00DE2D30" w:rsidRPr="00C62460" w:rsidRDefault="00DE2D30" w:rsidP="006E5ECE">
            <w:pPr>
              <w:spacing w:after="120" w:line="480" w:lineRule="auto"/>
            </w:pPr>
            <w:r>
              <w:t xml:space="preserve">Overall </w:t>
            </w:r>
            <w:r w:rsidRPr="00C62460">
              <w:t>Conclusion and Justification</w:t>
            </w:r>
            <w:r>
              <w:t xml:space="preserve"> for the Imidazole Category</w:t>
            </w:r>
            <w:r w:rsidRPr="00C62460">
              <w:t>:</w:t>
            </w:r>
          </w:p>
        </w:tc>
        <w:tc>
          <w:tcPr>
            <w:tcW w:w="11623" w:type="dxa"/>
            <w:gridSpan w:val="6"/>
          </w:tcPr>
          <w:p w14:paraId="0CF3C4AC" w14:textId="06FD2457" w:rsidR="00DE2D30" w:rsidRPr="00C62460" w:rsidRDefault="00DE2D30" w:rsidP="006E5ECE">
            <w:pPr>
              <w:spacing w:after="120" w:line="480" w:lineRule="auto"/>
            </w:pPr>
            <w:r w:rsidRPr="00C62460">
              <w:t>The</w:t>
            </w:r>
            <w:r>
              <w:t>re is moderate evidence that</w:t>
            </w:r>
            <w:r w:rsidRPr="00C62460">
              <w:t xml:space="preserve"> target and source</w:t>
            </w:r>
            <w:r>
              <w:t xml:space="preserve"> the</w:t>
            </w:r>
            <w:r w:rsidRPr="00C62460">
              <w:t xml:space="preserve"> molecule</w:t>
            </w:r>
            <w:r>
              <w:t>s</w:t>
            </w:r>
            <w:r w:rsidRPr="00C62460">
              <w:t xml:space="preserve"> are similar </w:t>
            </w:r>
            <w:r>
              <w:t xml:space="preserve">with regard to the read-across domain indicating low uncertainty with regard to their similarity. The target molecule is highly likely to share the same mode of toxicity action but possible differences in </w:t>
            </w:r>
            <w:proofErr w:type="spellStart"/>
            <w:r>
              <w:t>toxicokinetics</w:t>
            </w:r>
            <w:proofErr w:type="spellEnd"/>
            <w:r>
              <w:t xml:space="preserve"> </w:t>
            </w:r>
            <w:r>
              <w:rPr>
                <w:color w:val="000000" w:themeColor="text1"/>
              </w:rPr>
              <w:t>must</w:t>
            </w:r>
            <w:r w:rsidRPr="00D111A6">
              <w:rPr>
                <w:color w:val="000000" w:themeColor="text1"/>
              </w:rPr>
              <w:t xml:space="preserve"> be investigated </w:t>
            </w:r>
            <w:r>
              <w:rPr>
                <w:color w:val="000000" w:themeColor="text1"/>
              </w:rPr>
              <w:t xml:space="preserve">in order </w:t>
            </w:r>
            <w:r w:rsidRPr="00D111A6">
              <w:rPr>
                <w:color w:val="000000" w:themeColor="text1"/>
              </w:rPr>
              <w:t xml:space="preserve">to </w:t>
            </w:r>
            <w:r>
              <w:rPr>
                <w:color w:val="000000" w:themeColor="text1"/>
              </w:rPr>
              <w:t>ascertain whether</w:t>
            </w:r>
            <w:r w:rsidRPr="00D111A6">
              <w:rPr>
                <w:color w:val="000000" w:themeColor="text1"/>
              </w:rPr>
              <w:t xml:space="preserve"> a conservative read-across of a NOAEL is justified.</w:t>
            </w:r>
          </w:p>
        </w:tc>
      </w:tr>
    </w:tbl>
    <w:p w14:paraId="44F0B75E" w14:textId="77777777" w:rsidR="0010162E" w:rsidRDefault="0010162E" w:rsidP="006E5ECE">
      <w:pPr>
        <w:spacing w:after="120" w:line="480" w:lineRule="auto"/>
        <w:sectPr w:rsidR="0010162E" w:rsidSect="00B640AC">
          <w:type w:val="nextColumn"/>
          <w:pgSz w:w="16838" w:h="11906" w:orient="landscape"/>
          <w:pgMar w:top="1440" w:right="1440" w:bottom="1440" w:left="1440" w:header="709" w:footer="709" w:gutter="0"/>
          <w:lnNumType w:countBy="1" w:restart="continuous"/>
          <w:cols w:space="708"/>
          <w:docGrid w:linePitch="360"/>
        </w:sectPr>
      </w:pPr>
    </w:p>
    <w:p w14:paraId="4190D17F" w14:textId="77777777" w:rsidR="005C1897" w:rsidRPr="00CC4D22" w:rsidRDefault="005C1897" w:rsidP="006E5ECE">
      <w:pPr>
        <w:spacing w:after="120" w:line="480" w:lineRule="auto"/>
        <w:jc w:val="both"/>
        <w:rPr>
          <w:i/>
        </w:rPr>
      </w:pPr>
      <w:r w:rsidRPr="00CC4D22">
        <w:rPr>
          <w:i/>
        </w:rPr>
        <w:t>3.3 Consideration of other types of read-across</w:t>
      </w:r>
    </w:p>
    <w:p w14:paraId="29C29D3B" w14:textId="6BB3FD6B" w:rsidR="00497762" w:rsidRDefault="005C1897" w:rsidP="006E5ECE">
      <w:pPr>
        <w:spacing w:after="120" w:line="480" w:lineRule="auto"/>
        <w:jc w:val="both"/>
      </w:pPr>
      <w:r>
        <w:t xml:space="preserve">The definition of </w:t>
      </w:r>
      <w:r w:rsidR="0005218D">
        <w:t xml:space="preserve">applicability </w:t>
      </w:r>
      <w:r>
        <w:t xml:space="preserve">domain can be adapted for other types of read-across, </w:t>
      </w:r>
      <w:r w:rsidR="00DE2D30">
        <w:t>as indicated in Table 1.</w:t>
      </w:r>
      <w:r>
        <w:t xml:space="preserve"> Table 7 summarises the criteria identified in Tables 1 and 2 that would be important for each type of read-across.</w:t>
      </w:r>
      <w:r w:rsidR="00C054E5">
        <w:t xml:space="preserve"> </w:t>
      </w:r>
    </w:p>
    <w:p w14:paraId="0BDE31E2" w14:textId="75E7B8DB" w:rsidR="005C1897" w:rsidRDefault="005C1897" w:rsidP="006E5ECE">
      <w:pPr>
        <w:spacing w:after="120" w:line="480" w:lineRule="auto"/>
        <w:jc w:val="both"/>
      </w:pPr>
      <w:r>
        <w:t xml:space="preserve">For read-across associated with a common metabolite or degradant, as exemplified by the study reported by </w:t>
      </w:r>
      <w:r w:rsidRPr="00806056">
        <w:t xml:space="preserve">Ball et al. </w:t>
      </w:r>
      <w:r w:rsidR="00255928">
        <w:t>[</w:t>
      </w:r>
      <w:r w:rsidR="00EB3463">
        <w:t>38</w:t>
      </w:r>
      <w:r w:rsidR="00255928">
        <w:t>]</w:t>
      </w:r>
      <w:r>
        <w:t>,</w:t>
      </w:r>
      <w:r w:rsidR="00F9312E">
        <w:t xml:space="preserve"> the fundamental aspects are to ensure that the identical metabolite or degradant is formed, and that the rate of formation is comparable between the target and source molecules. As shown in Table 7, this should be demonstrated in terms of the chemical structure. Should a common structure </w:t>
      </w:r>
      <w:r w:rsidR="00DE2D30">
        <w:t xml:space="preserve">(for the relevant metabolite) </w:t>
      </w:r>
      <w:r w:rsidR="00F9312E">
        <w:t>be</w:t>
      </w:r>
      <w:r w:rsidR="00DE2D30">
        <w:t xml:space="preserve"> identified</w:t>
      </w:r>
      <w:r w:rsidR="00F9312E">
        <w:t xml:space="preserve"> then the structural similarity and </w:t>
      </w:r>
      <w:proofErr w:type="spellStart"/>
      <w:r w:rsidR="00F9312E">
        <w:t>physico</w:t>
      </w:r>
      <w:proofErr w:type="spellEnd"/>
      <w:r w:rsidR="00F9312E">
        <w:t xml:space="preserve">-chemical properties will be assumed to be identical. Likewise, </w:t>
      </w:r>
      <w:proofErr w:type="spellStart"/>
      <w:r w:rsidR="00F9312E">
        <w:t>toxicodynamics</w:t>
      </w:r>
      <w:proofErr w:type="spellEnd"/>
      <w:r w:rsidR="00F9312E">
        <w:t xml:space="preserve"> need not be considered as the read-across molecule will be assumed to be the same. The only factors that will need to be demonstrated relate to </w:t>
      </w:r>
      <w:proofErr w:type="spellStart"/>
      <w:r w:rsidR="00F9312E">
        <w:t>toxicokinetics</w:t>
      </w:r>
      <w:proofErr w:type="spellEnd"/>
      <w:r w:rsidR="00F9312E">
        <w:t xml:space="preserve">, specifically the formation of the </w:t>
      </w:r>
      <w:r w:rsidR="00962E97">
        <w:t xml:space="preserve">key </w:t>
      </w:r>
      <w:r w:rsidR="00F9312E">
        <w:t xml:space="preserve">metabolite. </w:t>
      </w:r>
    </w:p>
    <w:p w14:paraId="65640157" w14:textId="5D427DCB" w:rsidR="00F9312E" w:rsidRDefault="00F9312E" w:rsidP="006E5ECE">
      <w:pPr>
        <w:spacing w:after="120" w:line="480" w:lineRule="auto"/>
        <w:jc w:val="both"/>
      </w:pPr>
      <w:r>
        <w:t>Biological read-across and read-across for UVCBs / mixtures share many commonalities, indeed biological read-across is likely to be a key tool to fill data gaps for</w:t>
      </w:r>
      <w:r w:rsidR="00661F3B">
        <w:t xml:space="preserve"> such </w:t>
      </w:r>
      <w:r w:rsidR="00A95967">
        <w:t>assortments of substances</w:t>
      </w:r>
      <w:r>
        <w:t xml:space="preserve">. </w:t>
      </w:r>
      <w:r w:rsidR="002E2F63">
        <w:t>For the purposes of this discussion, biological read-across is taken to be an approach where chemical structure may not be known and the read-across is performed on the basis of similar biological data. Such data may typically be from –omics outputs or the results of high content assays</w:t>
      </w:r>
      <w:r w:rsidR="00DE7209">
        <w:t xml:space="preserve">, as exemplified by a number of studies e.g. </w:t>
      </w:r>
      <w:r w:rsidR="009D1658">
        <w:t xml:space="preserve">Escher et al </w:t>
      </w:r>
      <w:r w:rsidR="00255928">
        <w:t>[1</w:t>
      </w:r>
      <w:r w:rsidR="00EB3463">
        <w:t>6</w:t>
      </w:r>
      <w:r w:rsidR="00255928">
        <w:t>]</w:t>
      </w:r>
      <w:r w:rsidR="009D1658">
        <w:t xml:space="preserve">, </w:t>
      </w:r>
      <w:r w:rsidR="00DE7209">
        <w:t xml:space="preserve">Grimm et al. </w:t>
      </w:r>
      <w:r w:rsidR="00255928">
        <w:t>[</w:t>
      </w:r>
      <w:r w:rsidR="00EB3463">
        <w:t>39</w:t>
      </w:r>
      <w:r w:rsidR="00255928">
        <w:t>]</w:t>
      </w:r>
      <w:r w:rsidR="00DE7209">
        <w:t xml:space="preserve">, Nakagawa et al. </w:t>
      </w:r>
      <w:r w:rsidR="00255928">
        <w:t>[1</w:t>
      </w:r>
      <w:r w:rsidR="00EB3463">
        <w:t>5</w:t>
      </w:r>
      <w:r w:rsidR="00255928">
        <w:t>]</w:t>
      </w:r>
      <w:r w:rsidR="00DE7209">
        <w:t xml:space="preserve"> and van Ravenzwaay et al. </w:t>
      </w:r>
      <w:r w:rsidR="00F73B04">
        <w:t>[4</w:t>
      </w:r>
      <w:r w:rsidR="00EB3463">
        <w:t>1</w:t>
      </w:r>
      <w:r w:rsidR="00F73B04">
        <w:t>]</w:t>
      </w:r>
      <w:r w:rsidR="00DE7209">
        <w:t xml:space="preserve">. As reported in Table 7, for read-across candidates with known chemical structure, such similarity can form part of the read-across argument, although strictly speaking is not required. For biological read-across to be acceptable, it is the </w:t>
      </w:r>
      <w:proofErr w:type="spellStart"/>
      <w:r w:rsidR="00DE7209">
        <w:t>toxicodynamics</w:t>
      </w:r>
      <w:proofErr w:type="spellEnd"/>
      <w:r w:rsidR="00DE7209">
        <w:t xml:space="preserve"> that must be demonstrated to be similar through similar (experimental) biological responses. </w:t>
      </w:r>
    </w:p>
    <w:p w14:paraId="736200D4" w14:textId="764506B4" w:rsidR="00F9312E" w:rsidRDefault="00DE7209" w:rsidP="006E5ECE">
      <w:pPr>
        <w:spacing w:after="120" w:line="480" w:lineRule="auto"/>
        <w:jc w:val="both"/>
      </w:pPr>
      <w:r>
        <w:t xml:space="preserve">Consideration of read-across for UVCBs and mixtures in many ways applies and extends the process of biological read-across </w:t>
      </w:r>
      <w:bookmarkStart w:id="6" w:name="_Hlk92030115"/>
      <w:r w:rsidR="00F73B04">
        <w:rPr>
          <w:bCs/>
        </w:rPr>
        <w:t>[4</w:t>
      </w:r>
      <w:r w:rsidR="00EB3463">
        <w:rPr>
          <w:bCs/>
        </w:rPr>
        <w:t>2</w:t>
      </w:r>
      <w:r w:rsidR="00F73B04">
        <w:rPr>
          <w:bCs/>
        </w:rPr>
        <w:t>]</w:t>
      </w:r>
      <w:r>
        <w:t xml:space="preserve">. However, </w:t>
      </w:r>
      <w:r w:rsidR="00905836">
        <w:t xml:space="preserve">as noted in Table 7, </w:t>
      </w:r>
      <w:r>
        <w:t xml:space="preserve">for UVCBs </w:t>
      </w:r>
      <w:r w:rsidR="00905836">
        <w:t>and mixture</w:t>
      </w:r>
      <w:r w:rsidR="00A95967">
        <w:t>s</w:t>
      </w:r>
      <w:r w:rsidR="00905836">
        <w:t xml:space="preserve"> it may still be possible to categorise the structures of chemical constituents </w:t>
      </w:r>
      <w:r w:rsidR="00F73B04">
        <w:t>[4</w:t>
      </w:r>
      <w:r w:rsidR="00EB3463">
        <w:t>3</w:t>
      </w:r>
      <w:r w:rsidR="00F73B04">
        <w:t>-4</w:t>
      </w:r>
      <w:r w:rsidR="00EB3463">
        <w:t>5</w:t>
      </w:r>
      <w:r w:rsidR="00F73B04">
        <w:t>]</w:t>
      </w:r>
      <w:bookmarkEnd w:id="6"/>
      <w:r w:rsidR="00905836">
        <w:t>, although this is not theoretically required. As with biological read-across, similarity in mixtures and UVCBs may be assumed by similarity in biological responses including NAMs data, as exemplified by House et al</w:t>
      </w:r>
      <w:r w:rsidR="00F73B04">
        <w:t>.</w:t>
      </w:r>
      <w:r w:rsidR="00905836">
        <w:t xml:space="preserve"> </w:t>
      </w:r>
      <w:r w:rsidR="00F73B04">
        <w:t>[</w:t>
      </w:r>
      <w:r w:rsidR="00EB3463">
        <w:t>40</w:t>
      </w:r>
      <w:r w:rsidR="00F73B04">
        <w:t>]</w:t>
      </w:r>
      <w:r w:rsidR="00D931E3">
        <w:t xml:space="preserve">. </w:t>
      </w:r>
    </w:p>
    <w:p w14:paraId="04AD6098" w14:textId="77777777" w:rsidR="005C1897" w:rsidRDefault="005C1897" w:rsidP="006E5ECE">
      <w:pPr>
        <w:spacing w:after="120" w:line="480" w:lineRule="auto"/>
        <w:jc w:val="both"/>
      </w:pPr>
    </w:p>
    <w:p w14:paraId="45CBC863" w14:textId="1137E997" w:rsidR="005C1897" w:rsidRDefault="005C1897" w:rsidP="006E5ECE">
      <w:pPr>
        <w:spacing w:after="120" w:line="480" w:lineRule="auto"/>
        <w:jc w:val="both"/>
      </w:pPr>
    </w:p>
    <w:p w14:paraId="7C59A140" w14:textId="77777777" w:rsidR="00F9312E" w:rsidRDefault="00F9312E" w:rsidP="006E5ECE">
      <w:pPr>
        <w:spacing w:after="120" w:line="480" w:lineRule="auto"/>
        <w:jc w:val="both"/>
      </w:pPr>
    </w:p>
    <w:p w14:paraId="65EF1374" w14:textId="77777777" w:rsidR="00C054E5" w:rsidRDefault="00C054E5" w:rsidP="006E5ECE">
      <w:pPr>
        <w:spacing w:after="120" w:line="480" w:lineRule="auto"/>
        <w:jc w:val="both"/>
        <w:sectPr w:rsidR="00C054E5" w:rsidSect="00B640AC">
          <w:type w:val="nextColumn"/>
          <w:pgSz w:w="11906" w:h="16838"/>
          <w:pgMar w:top="1440" w:right="1440" w:bottom="1440" w:left="1440" w:header="708" w:footer="708" w:gutter="0"/>
          <w:lnNumType w:countBy="1" w:restart="continuous"/>
          <w:cols w:space="708"/>
          <w:docGrid w:linePitch="360"/>
        </w:sectPr>
      </w:pPr>
    </w:p>
    <w:p w14:paraId="2808AFC6" w14:textId="737576C0" w:rsidR="005C1897" w:rsidRDefault="005C1897" w:rsidP="006E5ECE">
      <w:pPr>
        <w:spacing w:after="120" w:line="480" w:lineRule="auto"/>
        <w:jc w:val="both"/>
      </w:pPr>
      <w:r>
        <w:t xml:space="preserve">Table 7. </w:t>
      </w:r>
      <w:r w:rsidR="00F9312E">
        <w:t xml:space="preserve">Relevance of the criteria for defining the applicability domain of a read-across (as described in Tables 1 and 2) for different types of read-across applications. </w:t>
      </w:r>
    </w:p>
    <w:tbl>
      <w:tblPr>
        <w:tblStyle w:val="TableGrid"/>
        <w:tblW w:w="0" w:type="auto"/>
        <w:tblBorders>
          <w:insideV w:val="single" w:sz="18" w:space="0" w:color="auto"/>
        </w:tblBorders>
        <w:tblLook w:val="04A0" w:firstRow="1" w:lastRow="0" w:firstColumn="1" w:lastColumn="0" w:noHBand="0" w:noVBand="1"/>
      </w:tblPr>
      <w:tblGrid>
        <w:gridCol w:w="2405"/>
        <w:gridCol w:w="2693"/>
        <w:gridCol w:w="3119"/>
        <w:gridCol w:w="3015"/>
        <w:gridCol w:w="2716"/>
      </w:tblGrid>
      <w:tr w:rsidR="005C1897" w14:paraId="009F565B" w14:textId="77777777" w:rsidTr="005B7121">
        <w:tc>
          <w:tcPr>
            <w:tcW w:w="2405" w:type="dxa"/>
          </w:tcPr>
          <w:p w14:paraId="3948EA1D" w14:textId="77777777" w:rsidR="005C1897" w:rsidRDefault="005C1897" w:rsidP="006E5ECE">
            <w:pPr>
              <w:spacing w:after="120" w:line="480" w:lineRule="auto"/>
            </w:pPr>
          </w:p>
        </w:tc>
        <w:tc>
          <w:tcPr>
            <w:tcW w:w="2693" w:type="dxa"/>
          </w:tcPr>
          <w:p w14:paraId="3D4A1B0D" w14:textId="77777777" w:rsidR="005C1897" w:rsidRDefault="005C1897" w:rsidP="006E5ECE">
            <w:pPr>
              <w:spacing w:after="120" w:line="480" w:lineRule="auto"/>
            </w:pPr>
            <w:r>
              <w:t>Analogue or Category</w:t>
            </w:r>
          </w:p>
        </w:tc>
        <w:tc>
          <w:tcPr>
            <w:tcW w:w="3119" w:type="dxa"/>
          </w:tcPr>
          <w:p w14:paraId="5EFC8442" w14:textId="77777777" w:rsidR="005C1897" w:rsidRDefault="005C1897" w:rsidP="006E5ECE">
            <w:pPr>
              <w:spacing w:after="120" w:line="480" w:lineRule="auto"/>
            </w:pPr>
            <w:r>
              <w:t>Common Metabolite / Degradant</w:t>
            </w:r>
          </w:p>
        </w:tc>
        <w:tc>
          <w:tcPr>
            <w:tcW w:w="3015" w:type="dxa"/>
          </w:tcPr>
          <w:p w14:paraId="186ABD35" w14:textId="77777777" w:rsidR="005C1897" w:rsidRDefault="005C1897" w:rsidP="006E5ECE">
            <w:pPr>
              <w:spacing w:after="120" w:line="480" w:lineRule="auto"/>
            </w:pPr>
            <w:r>
              <w:t>Biological Read-Across</w:t>
            </w:r>
          </w:p>
        </w:tc>
        <w:tc>
          <w:tcPr>
            <w:tcW w:w="2716" w:type="dxa"/>
          </w:tcPr>
          <w:p w14:paraId="51E95CF0" w14:textId="77777777" w:rsidR="005C1897" w:rsidRDefault="005C1897" w:rsidP="006E5ECE">
            <w:pPr>
              <w:spacing w:after="120" w:line="480" w:lineRule="auto"/>
            </w:pPr>
            <w:r>
              <w:t>UVCB / Mixture</w:t>
            </w:r>
          </w:p>
        </w:tc>
      </w:tr>
      <w:tr w:rsidR="005C1897" w14:paraId="271A716B" w14:textId="77777777" w:rsidTr="005B7121">
        <w:tc>
          <w:tcPr>
            <w:tcW w:w="13948" w:type="dxa"/>
            <w:gridSpan w:val="5"/>
          </w:tcPr>
          <w:p w14:paraId="7BC09B80" w14:textId="77777777" w:rsidR="005C1897" w:rsidRDefault="005C1897" w:rsidP="005B7121">
            <w:pPr>
              <w:spacing w:after="120" w:line="480" w:lineRule="auto"/>
            </w:pPr>
          </w:p>
        </w:tc>
      </w:tr>
      <w:tr w:rsidR="005C1897" w14:paraId="425CD916" w14:textId="77777777" w:rsidTr="005B7121">
        <w:tc>
          <w:tcPr>
            <w:tcW w:w="13948" w:type="dxa"/>
            <w:gridSpan w:val="5"/>
          </w:tcPr>
          <w:p w14:paraId="3C7DD4E3" w14:textId="77777777" w:rsidR="005C1897" w:rsidRPr="00B81753" w:rsidRDefault="005C1897" w:rsidP="005B7121">
            <w:pPr>
              <w:spacing w:after="120" w:line="480" w:lineRule="auto"/>
              <w:jc w:val="center"/>
              <w:rPr>
                <w:b/>
                <w:bCs/>
              </w:rPr>
            </w:pPr>
            <w:r w:rsidRPr="00B81753">
              <w:rPr>
                <w:b/>
                <w:bCs/>
              </w:rPr>
              <w:t>Chemistry</w:t>
            </w:r>
          </w:p>
        </w:tc>
      </w:tr>
      <w:tr w:rsidR="005C1897" w14:paraId="6632F190" w14:textId="77777777" w:rsidTr="005B7121">
        <w:tc>
          <w:tcPr>
            <w:tcW w:w="13948" w:type="dxa"/>
            <w:gridSpan w:val="5"/>
          </w:tcPr>
          <w:p w14:paraId="7F010BE9" w14:textId="77777777" w:rsidR="005C1897" w:rsidRDefault="005C1897" w:rsidP="005B7121">
            <w:pPr>
              <w:spacing w:after="120" w:line="480" w:lineRule="auto"/>
            </w:pPr>
          </w:p>
        </w:tc>
      </w:tr>
      <w:tr w:rsidR="005C1897" w14:paraId="04AF042A" w14:textId="77777777" w:rsidTr="005B7121">
        <w:tc>
          <w:tcPr>
            <w:tcW w:w="2405" w:type="dxa"/>
          </w:tcPr>
          <w:p w14:paraId="4B6A0E55" w14:textId="37E5BC17" w:rsidR="005C1897" w:rsidRDefault="005C1897" w:rsidP="005B7121">
            <w:pPr>
              <w:spacing w:after="120" w:line="480" w:lineRule="auto"/>
            </w:pPr>
            <w:r>
              <w:t xml:space="preserve">Chemical </w:t>
            </w:r>
            <w:r w:rsidR="004F4385">
              <w:t>sub</w:t>
            </w:r>
            <w:r>
              <w:t>structure</w:t>
            </w:r>
          </w:p>
        </w:tc>
        <w:tc>
          <w:tcPr>
            <w:tcW w:w="2693" w:type="dxa"/>
          </w:tcPr>
          <w:p w14:paraId="3EB4B7BC" w14:textId="77777777" w:rsidR="005C1897" w:rsidRDefault="005C1897" w:rsidP="005B7121">
            <w:pPr>
              <w:spacing w:after="120" w:line="480" w:lineRule="auto"/>
            </w:pPr>
            <w:r>
              <w:t>Essential – similarity in analogues and category members must be demonstrated</w:t>
            </w:r>
          </w:p>
        </w:tc>
        <w:tc>
          <w:tcPr>
            <w:tcW w:w="3119" w:type="dxa"/>
          </w:tcPr>
          <w:p w14:paraId="35F96D81" w14:textId="77777777" w:rsidR="005C1897" w:rsidRDefault="005C1897" w:rsidP="005B7121">
            <w:pPr>
              <w:spacing w:after="120" w:line="480" w:lineRule="auto"/>
            </w:pPr>
            <w:r>
              <w:t>Essential – common metabolite or degradant is assumed</w:t>
            </w:r>
          </w:p>
        </w:tc>
        <w:tc>
          <w:tcPr>
            <w:tcW w:w="3015" w:type="dxa"/>
          </w:tcPr>
          <w:p w14:paraId="3CEACF45" w14:textId="77777777" w:rsidR="005C1897" w:rsidRDefault="005C1897" w:rsidP="005B7121">
            <w:pPr>
              <w:spacing w:after="120" w:line="480" w:lineRule="auto"/>
            </w:pPr>
            <w:r>
              <w:t>Non-essential. If structures are known, this may be helpful but is not a vital part of the read-across process</w:t>
            </w:r>
          </w:p>
        </w:tc>
        <w:tc>
          <w:tcPr>
            <w:tcW w:w="2716" w:type="dxa"/>
          </w:tcPr>
          <w:p w14:paraId="171E6901" w14:textId="77777777" w:rsidR="005C1897" w:rsidRDefault="005C1897" w:rsidP="005B7121">
            <w:pPr>
              <w:spacing w:after="120" w:line="480" w:lineRule="auto"/>
            </w:pPr>
            <w:r>
              <w:t>Non-essential. If structures are known, this may be helpful but is not a vital part of the read-across process</w:t>
            </w:r>
          </w:p>
        </w:tc>
      </w:tr>
      <w:tr w:rsidR="005C1897" w14:paraId="2C6CE636" w14:textId="77777777" w:rsidTr="005B7121">
        <w:tc>
          <w:tcPr>
            <w:tcW w:w="2405" w:type="dxa"/>
          </w:tcPr>
          <w:p w14:paraId="493F6698" w14:textId="709C8629" w:rsidR="005C1897" w:rsidRDefault="004F4385" w:rsidP="005B7121">
            <w:pPr>
              <w:spacing w:after="120" w:line="480" w:lineRule="auto"/>
            </w:pPr>
            <w:r>
              <w:t>Molecular s</w:t>
            </w:r>
            <w:r w:rsidR="005C1897">
              <w:t xml:space="preserve">imilarity </w:t>
            </w:r>
          </w:p>
        </w:tc>
        <w:tc>
          <w:tcPr>
            <w:tcW w:w="2693" w:type="dxa"/>
          </w:tcPr>
          <w:p w14:paraId="204FBCEC" w14:textId="77777777" w:rsidR="005C1897" w:rsidRDefault="005C1897" w:rsidP="005B7121">
            <w:pPr>
              <w:spacing w:after="120" w:line="480" w:lineRule="auto"/>
            </w:pPr>
            <w:r>
              <w:t>Essential – similarity in analogues and category members must be demonstrated</w:t>
            </w:r>
          </w:p>
        </w:tc>
        <w:tc>
          <w:tcPr>
            <w:tcW w:w="3119" w:type="dxa"/>
          </w:tcPr>
          <w:p w14:paraId="2E0F6C32" w14:textId="77777777" w:rsidR="005C1897" w:rsidRDefault="005C1897" w:rsidP="005B7121">
            <w:pPr>
              <w:spacing w:after="120" w:line="480" w:lineRule="auto"/>
            </w:pPr>
            <w:r>
              <w:t>Not relevant - common metabolite or degradant is assumed</w:t>
            </w:r>
          </w:p>
        </w:tc>
        <w:tc>
          <w:tcPr>
            <w:tcW w:w="3015" w:type="dxa"/>
          </w:tcPr>
          <w:p w14:paraId="20B6986D" w14:textId="77777777" w:rsidR="005C1897" w:rsidRDefault="005C1897" w:rsidP="005B7121">
            <w:pPr>
              <w:spacing w:after="120" w:line="480" w:lineRule="auto"/>
            </w:pPr>
            <w:r>
              <w:t>Non-essential. If structures are known, then information may be provided</w:t>
            </w:r>
          </w:p>
        </w:tc>
        <w:tc>
          <w:tcPr>
            <w:tcW w:w="2716" w:type="dxa"/>
          </w:tcPr>
          <w:p w14:paraId="18025468" w14:textId="77777777" w:rsidR="005C1897" w:rsidRDefault="005C1897" w:rsidP="005B7121">
            <w:pPr>
              <w:spacing w:after="120" w:line="480" w:lineRule="auto"/>
            </w:pPr>
            <w:r>
              <w:t>Not relevant – similarity metrics cannot currently be calculated for UVCBs or mixtures</w:t>
            </w:r>
          </w:p>
        </w:tc>
      </w:tr>
      <w:tr w:rsidR="005C1897" w14:paraId="3E80A720" w14:textId="77777777" w:rsidTr="005B7121">
        <w:tc>
          <w:tcPr>
            <w:tcW w:w="2405" w:type="dxa"/>
          </w:tcPr>
          <w:p w14:paraId="68C86395" w14:textId="77777777" w:rsidR="005C1897" w:rsidRDefault="005C1897" w:rsidP="005B7121">
            <w:pPr>
              <w:spacing w:after="120" w:line="480" w:lineRule="auto"/>
            </w:pPr>
            <w:proofErr w:type="spellStart"/>
            <w:r>
              <w:t>Physico</w:t>
            </w:r>
            <w:proofErr w:type="spellEnd"/>
            <w:r>
              <w:t>-chemical properties</w:t>
            </w:r>
          </w:p>
        </w:tc>
        <w:tc>
          <w:tcPr>
            <w:tcW w:w="2693" w:type="dxa"/>
          </w:tcPr>
          <w:p w14:paraId="6AA12D48" w14:textId="77777777" w:rsidR="005C1897" w:rsidRDefault="005C1897" w:rsidP="005B7121">
            <w:pPr>
              <w:spacing w:after="120" w:line="480" w:lineRule="auto"/>
            </w:pPr>
            <w:r>
              <w:t>Essential – similarity in analogues and category members must be demonstrated</w:t>
            </w:r>
          </w:p>
        </w:tc>
        <w:tc>
          <w:tcPr>
            <w:tcW w:w="3119" w:type="dxa"/>
          </w:tcPr>
          <w:p w14:paraId="44532169" w14:textId="77777777" w:rsidR="005C1897" w:rsidRDefault="005C1897" w:rsidP="005B7121">
            <w:pPr>
              <w:spacing w:after="120" w:line="480" w:lineRule="auto"/>
            </w:pPr>
            <w:r>
              <w:t>Not relevant - common metabolite or degradant is assumed</w:t>
            </w:r>
          </w:p>
        </w:tc>
        <w:tc>
          <w:tcPr>
            <w:tcW w:w="3015" w:type="dxa"/>
          </w:tcPr>
          <w:p w14:paraId="44359575" w14:textId="77777777" w:rsidR="005C1897" w:rsidRDefault="005C1897" w:rsidP="005B7121">
            <w:pPr>
              <w:spacing w:after="120" w:line="480" w:lineRule="auto"/>
            </w:pPr>
            <w:r>
              <w:t>Non-essential. If structures are known, then information may be provided</w:t>
            </w:r>
          </w:p>
        </w:tc>
        <w:tc>
          <w:tcPr>
            <w:tcW w:w="2716" w:type="dxa"/>
          </w:tcPr>
          <w:p w14:paraId="56B37AF3" w14:textId="77777777" w:rsidR="005C1897" w:rsidRDefault="005C1897" w:rsidP="005B7121">
            <w:pPr>
              <w:spacing w:after="120" w:line="480" w:lineRule="auto"/>
            </w:pPr>
            <w:r>
              <w:t>Non-essential. If properties are known, then information may be provided</w:t>
            </w:r>
          </w:p>
        </w:tc>
      </w:tr>
      <w:tr w:rsidR="005C1897" w14:paraId="3670759C" w14:textId="77777777" w:rsidTr="005B7121">
        <w:tc>
          <w:tcPr>
            <w:tcW w:w="13948" w:type="dxa"/>
            <w:gridSpan w:val="5"/>
          </w:tcPr>
          <w:p w14:paraId="68985136" w14:textId="77777777" w:rsidR="005C1897" w:rsidRDefault="005C1897" w:rsidP="005B7121">
            <w:pPr>
              <w:spacing w:after="120" w:line="480" w:lineRule="auto"/>
            </w:pPr>
          </w:p>
        </w:tc>
      </w:tr>
      <w:tr w:rsidR="005C1897" w14:paraId="6713E7F3" w14:textId="77777777" w:rsidTr="005B7121">
        <w:tc>
          <w:tcPr>
            <w:tcW w:w="13948" w:type="dxa"/>
            <w:gridSpan w:val="5"/>
          </w:tcPr>
          <w:p w14:paraId="135CB838" w14:textId="77777777" w:rsidR="005C1897" w:rsidRPr="00F17B9C" w:rsidRDefault="005C1897" w:rsidP="005B7121">
            <w:pPr>
              <w:spacing w:after="120" w:line="480" w:lineRule="auto"/>
              <w:jc w:val="center"/>
              <w:rPr>
                <w:b/>
                <w:bCs/>
              </w:rPr>
            </w:pPr>
            <w:proofErr w:type="spellStart"/>
            <w:r w:rsidRPr="00F17B9C">
              <w:rPr>
                <w:b/>
                <w:bCs/>
              </w:rPr>
              <w:t>Toxicodynamics</w:t>
            </w:r>
            <w:proofErr w:type="spellEnd"/>
          </w:p>
        </w:tc>
      </w:tr>
      <w:tr w:rsidR="005C1897" w14:paraId="4956743D" w14:textId="77777777" w:rsidTr="005B7121">
        <w:tc>
          <w:tcPr>
            <w:tcW w:w="13948" w:type="dxa"/>
            <w:gridSpan w:val="5"/>
          </w:tcPr>
          <w:p w14:paraId="01B64A8B" w14:textId="77777777" w:rsidR="005C1897" w:rsidRDefault="005C1897" w:rsidP="005B7121">
            <w:pPr>
              <w:spacing w:after="120" w:line="480" w:lineRule="auto"/>
            </w:pPr>
          </w:p>
        </w:tc>
      </w:tr>
      <w:tr w:rsidR="005C1897" w14:paraId="56B7CD01" w14:textId="77777777" w:rsidTr="005B7121">
        <w:tc>
          <w:tcPr>
            <w:tcW w:w="2405" w:type="dxa"/>
          </w:tcPr>
          <w:p w14:paraId="14B6156B" w14:textId="77777777" w:rsidR="005C1897" w:rsidRDefault="005C1897" w:rsidP="005B7121">
            <w:pPr>
              <w:spacing w:after="120" w:line="480" w:lineRule="auto"/>
            </w:pPr>
            <w:r>
              <w:t>Toxicology</w:t>
            </w:r>
          </w:p>
        </w:tc>
        <w:tc>
          <w:tcPr>
            <w:tcW w:w="2693" w:type="dxa"/>
          </w:tcPr>
          <w:p w14:paraId="28605867" w14:textId="77777777" w:rsidR="005C1897" w:rsidRDefault="005C1897" w:rsidP="005B7121">
            <w:pPr>
              <w:spacing w:after="120" w:line="480" w:lineRule="auto"/>
            </w:pPr>
            <w:r>
              <w:t>Essential – similarity in analogues and category members must be demonstrated</w:t>
            </w:r>
          </w:p>
        </w:tc>
        <w:tc>
          <w:tcPr>
            <w:tcW w:w="3119" w:type="dxa"/>
          </w:tcPr>
          <w:p w14:paraId="132C398B" w14:textId="77777777" w:rsidR="005C1897" w:rsidRDefault="005C1897" w:rsidP="005B7121">
            <w:pPr>
              <w:spacing w:after="120" w:line="480" w:lineRule="auto"/>
            </w:pPr>
            <w:r>
              <w:t>Not relevant - common metabolite or degradant is assumed</w:t>
            </w:r>
          </w:p>
        </w:tc>
        <w:tc>
          <w:tcPr>
            <w:tcW w:w="3015" w:type="dxa"/>
          </w:tcPr>
          <w:p w14:paraId="22A83FF9" w14:textId="77777777" w:rsidR="005C1897" w:rsidRDefault="005C1897" w:rsidP="005B7121">
            <w:pPr>
              <w:spacing w:after="120" w:line="480" w:lineRule="auto"/>
            </w:pPr>
            <w:r>
              <w:t>Essential – similarity must be demonstrated</w:t>
            </w:r>
          </w:p>
        </w:tc>
        <w:tc>
          <w:tcPr>
            <w:tcW w:w="2716" w:type="dxa"/>
          </w:tcPr>
          <w:p w14:paraId="2BAAE8F5" w14:textId="77777777" w:rsidR="005C1897" w:rsidRDefault="005C1897" w:rsidP="005B7121">
            <w:pPr>
              <w:spacing w:after="120" w:line="480" w:lineRule="auto"/>
            </w:pPr>
            <w:r>
              <w:t>Essential – similarity must be demonstrated</w:t>
            </w:r>
          </w:p>
        </w:tc>
      </w:tr>
      <w:tr w:rsidR="005C1897" w14:paraId="51894F2A" w14:textId="77777777" w:rsidTr="005B7121">
        <w:tc>
          <w:tcPr>
            <w:tcW w:w="2405" w:type="dxa"/>
          </w:tcPr>
          <w:p w14:paraId="64407C92" w14:textId="3AEEE812" w:rsidR="005C1897" w:rsidRDefault="005C1897" w:rsidP="005B7121">
            <w:pPr>
              <w:spacing w:after="120" w:line="480" w:lineRule="auto"/>
              <w:ind w:left="284" w:hanging="284"/>
              <w:jc w:val="both"/>
              <w:rPr>
                <w:bCs/>
              </w:rPr>
            </w:pPr>
            <w:r>
              <w:t>Molecular Initiating Event</w:t>
            </w:r>
          </w:p>
          <w:p w14:paraId="18F7EBBF" w14:textId="77777777" w:rsidR="005C1897" w:rsidRPr="00CB1C22" w:rsidRDefault="005C1897" w:rsidP="005B7121">
            <w:pPr>
              <w:spacing w:after="120" w:line="480" w:lineRule="auto"/>
            </w:pPr>
          </w:p>
        </w:tc>
        <w:tc>
          <w:tcPr>
            <w:tcW w:w="2693" w:type="dxa"/>
          </w:tcPr>
          <w:p w14:paraId="7A1BB7C7" w14:textId="77777777" w:rsidR="005C1897" w:rsidRPr="00CB1C22" w:rsidRDefault="005C1897" w:rsidP="005B7121">
            <w:pPr>
              <w:spacing w:after="120" w:line="480" w:lineRule="auto"/>
            </w:pPr>
            <w:r>
              <w:t>Essential – similarity in analogues and category members must be demonstrated</w:t>
            </w:r>
          </w:p>
        </w:tc>
        <w:tc>
          <w:tcPr>
            <w:tcW w:w="3119" w:type="dxa"/>
          </w:tcPr>
          <w:p w14:paraId="146652BE" w14:textId="77777777" w:rsidR="005C1897" w:rsidRPr="00CB1C22" w:rsidRDefault="005C1897" w:rsidP="005B7121">
            <w:pPr>
              <w:spacing w:after="120" w:line="480" w:lineRule="auto"/>
            </w:pPr>
            <w:r>
              <w:t>Not relevant - common metabolite or degradant is assumed</w:t>
            </w:r>
          </w:p>
        </w:tc>
        <w:tc>
          <w:tcPr>
            <w:tcW w:w="3015" w:type="dxa"/>
          </w:tcPr>
          <w:p w14:paraId="348109D5" w14:textId="77777777" w:rsidR="005C1897" w:rsidRPr="00CB1C22" w:rsidRDefault="005C1897" w:rsidP="005B7121">
            <w:pPr>
              <w:spacing w:after="120" w:line="480" w:lineRule="auto"/>
            </w:pPr>
            <w:r>
              <w:t>Essential – similarity must be demonstrated</w:t>
            </w:r>
          </w:p>
        </w:tc>
        <w:tc>
          <w:tcPr>
            <w:tcW w:w="2716" w:type="dxa"/>
          </w:tcPr>
          <w:p w14:paraId="5562FCCE" w14:textId="77777777" w:rsidR="005C1897" w:rsidRDefault="005C1897" w:rsidP="005B7121">
            <w:pPr>
              <w:spacing w:after="120" w:line="480" w:lineRule="auto"/>
            </w:pPr>
            <w:r>
              <w:t>Non-essential – it may not be possible to demonstrate a common MIE</w:t>
            </w:r>
          </w:p>
        </w:tc>
      </w:tr>
      <w:tr w:rsidR="005C1897" w14:paraId="034162C5" w14:textId="77777777" w:rsidTr="005B7121">
        <w:tc>
          <w:tcPr>
            <w:tcW w:w="2405" w:type="dxa"/>
          </w:tcPr>
          <w:p w14:paraId="1BAEE06B" w14:textId="77777777" w:rsidR="005C1897" w:rsidRDefault="005C1897" w:rsidP="005B7121">
            <w:pPr>
              <w:spacing w:after="120" w:line="480" w:lineRule="auto"/>
            </w:pPr>
            <w:r>
              <w:t>Mechanistic analysis</w:t>
            </w:r>
          </w:p>
        </w:tc>
        <w:tc>
          <w:tcPr>
            <w:tcW w:w="2693" w:type="dxa"/>
          </w:tcPr>
          <w:p w14:paraId="1EE41A67" w14:textId="77777777" w:rsidR="005C1897" w:rsidRDefault="005C1897" w:rsidP="005B7121">
            <w:pPr>
              <w:spacing w:after="120" w:line="480" w:lineRule="auto"/>
            </w:pPr>
            <w:r>
              <w:t>Essential – similarity in analogues and category members must be demonstrated</w:t>
            </w:r>
          </w:p>
        </w:tc>
        <w:tc>
          <w:tcPr>
            <w:tcW w:w="3119" w:type="dxa"/>
          </w:tcPr>
          <w:p w14:paraId="2FD5975E" w14:textId="77777777" w:rsidR="005C1897" w:rsidRDefault="005C1897" w:rsidP="005B7121">
            <w:pPr>
              <w:spacing w:after="120" w:line="480" w:lineRule="auto"/>
            </w:pPr>
            <w:r>
              <w:t>Not relevant - common metabolite or degradant is assumed</w:t>
            </w:r>
          </w:p>
        </w:tc>
        <w:tc>
          <w:tcPr>
            <w:tcW w:w="3015" w:type="dxa"/>
          </w:tcPr>
          <w:p w14:paraId="301CC299" w14:textId="77777777" w:rsidR="005C1897" w:rsidRDefault="005C1897" w:rsidP="005B7121">
            <w:pPr>
              <w:spacing w:after="120" w:line="480" w:lineRule="auto"/>
            </w:pPr>
            <w:r>
              <w:t>Essential – similarity must be demonstrated</w:t>
            </w:r>
          </w:p>
        </w:tc>
        <w:tc>
          <w:tcPr>
            <w:tcW w:w="2716" w:type="dxa"/>
          </w:tcPr>
          <w:p w14:paraId="5A622C11" w14:textId="77777777" w:rsidR="005C1897" w:rsidRDefault="005C1897" w:rsidP="005B7121">
            <w:pPr>
              <w:spacing w:after="120" w:line="480" w:lineRule="auto"/>
            </w:pPr>
            <w:r>
              <w:t>Essential – similarity must be demonstrated</w:t>
            </w:r>
          </w:p>
        </w:tc>
      </w:tr>
      <w:tr w:rsidR="0035640A" w14:paraId="7C408A80" w14:textId="77777777" w:rsidTr="001C215D">
        <w:tc>
          <w:tcPr>
            <w:tcW w:w="13948" w:type="dxa"/>
            <w:gridSpan w:val="5"/>
          </w:tcPr>
          <w:p w14:paraId="1A063C35" w14:textId="77777777" w:rsidR="0035640A" w:rsidRDefault="0035640A" w:rsidP="005B7121">
            <w:pPr>
              <w:spacing w:after="120" w:line="480" w:lineRule="auto"/>
            </w:pPr>
          </w:p>
        </w:tc>
      </w:tr>
      <w:tr w:rsidR="005C1897" w14:paraId="68CA693C" w14:textId="77777777" w:rsidTr="005B7121">
        <w:tc>
          <w:tcPr>
            <w:tcW w:w="13948" w:type="dxa"/>
            <w:gridSpan w:val="5"/>
          </w:tcPr>
          <w:p w14:paraId="530E5B1E" w14:textId="77777777" w:rsidR="005C1897" w:rsidRPr="005F1B60" w:rsidRDefault="005C1897" w:rsidP="005B7121">
            <w:pPr>
              <w:spacing w:after="120" w:line="480" w:lineRule="auto"/>
              <w:jc w:val="center"/>
              <w:rPr>
                <w:b/>
                <w:bCs/>
              </w:rPr>
            </w:pPr>
            <w:proofErr w:type="spellStart"/>
            <w:r w:rsidRPr="005F1B60">
              <w:rPr>
                <w:b/>
                <w:bCs/>
              </w:rPr>
              <w:t>Toxicokinetics</w:t>
            </w:r>
            <w:proofErr w:type="spellEnd"/>
          </w:p>
        </w:tc>
      </w:tr>
      <w:tr w:rsidR="0035640A" w14:paraId="7AB0BCCA" w14:textId="77777777" w:rsidTr="001C215D">
        <w:tc>
          <w:tcPr>
            <w:tcW w:w="13948" w:type="dxa"/>
            <w:gridSpan w:val="5"/>
          </w:tcPr>
          <w:p w14:paraId="2C60051C" w14:textId="77777777" w:rsidR="0035640A" w:rsidRDefault="0035640A" w:rsidP="005B7121">
            <w:pPr>
              <w:spacing w:after="120" w:line="480" w:lineRule="auto"/>
            </w:pPr>
          </w:p>
        </w:tc>
      </w:tr>
      <w:tr w:rsidR="005C1897" w14:paraId="30EC1EE8" w14:textId="77777777" w:rsidTr="005B7121">
        <w:tc>
          <w:tcPr>
            <w:tcW w:w="2405" w:type="dxa"/>
          </w:tcPr>
          <w:p w14:paraId="6947855F" w14:textId="7C208D85" w:rsidR="005C1897" w:rsidRDefault="005C1897" w:rsidP="005B7121">
            <w:pPr>
              <w:spacing w:after="120" w:line="480" w:lineRule="auto"/>
            </w:pPr>
            <w:r>
              <w:t>Absorption, distribution</w:t>
            </w:r>
            <w:r w:rsidR="006100D6">
              <w:t xml:space="preserve">, metabolism </w:t>
            </w:r>
            <w:r>
              <w:t xml:space="preserve">and excretion </w:t>
            </w:r>
          </w:p>
        </w:tc>
        <w:tc>
          <w:tcPr>
            <w:tcW w:w="2693" w:type="dxa"/>
          </w:tcPr>
          <w:p w14:paraId="77D46E3E" w14:textId="77777777" w:rsidR="005C1897" w:rsidRDefault="005C1897" w:rsidP="005B7121">
            <w:pPr>
              <w:spacing w:after="120" w:line="480" w:lineRule="auto"/>
            </w:pPr>
            <w:r>
              <w:t>Essential – similarity in analogues and category members must be demonstrated</w:t>
            </w:r>
          </w:p>
        </w:tc>
        <w:tc>
          <w:tcPr>
            <w:tcW w:w="3119" w:type="dxa"/>
          </w:tcPr>
          <w:p w14:paraId="2B962D79" w14:textId="77777777" w:rsidR="005C1897" w:rsidRDefault="005C1897" w:rsidP="005B7121">
            <w:pPr>
              <w:spacing w:after="120" w:line="480" w:lineRule="auto"/>
            </w:pPr>
            <w:r>
              <w:t>Not relevant - common metabolite or degradant is assumed</w:t>
            </w:r>
          </w:p>
        </w:tc>
        <w:tc>
          <w:tcPr>
            <w:tcW w:w="3015" w:type="dxa"/>
          </w:tcPr>
          <w:p w14:paraId="3B5B32A1" w14:textId="77777777" w:rsidR="005C1897" w:rsidRDefault="005C1897" w:rsidP="005B7121">
            <w:pPr>
              <w:spacing w:after="120" w:line="480" w:lineRule="auto"/>
            </w:pPr>
            <w:r>
              <w:t>Non-essential. If ADME information is known, then information may be provided</w:t>
            </w:r>
          </w:p>
        </w:tc>
        <w:tc>
          <w:tcPr>
            <w:tcW w:w="2716" w:type="dxa"/>
          </w:tcPr>
          <w:p w14:paraId="34B222C1" w14:textId="77777777" w:rsidR="005C1897" w:rsidRDefault="005C1897" w:rsidP="005B7121">
            <w:pPr>
              <w:spacing w:after="120" w:line="480" w:lineRule="auto"/>
            </w:pPr>
            <w:r>
              <w:t>Non-essential. If ADME information is known, then information may be provided</w:t>
            </w:r>
          </w:p>
        </w:tc>
      </w:tr>
      <w:tr w:rsidR="005C1897" w14:paraId="1EC6351E" w14:textId="77777777" w:rsidTr="005B7121">
        <w:tc>
          <w:tcPr>
            <w:tcW w:w="2405" w:type="dxa"/>
          </w:tcPr>
          <w:p w14:paraId="4AA44F84" w14:textId="07E22C78" w:rsidR="005C1897" w:rsidRDefault="005C1897" w:rsidP="005B7121">
            <w:pPr>
              <w:spacing w:after="120" w:line="480" w:lineRule="auto"/>
            </w:pPr>
          </w:p>
          <w:p w14:paraId="6D6A671F" w14:textId="3504F0EF" w:rsidR="00C6546B" w:rsidRDefault="00C6546B" w:rsidP="005B7121">
            <w:pPr>
              <w:spacing w:after="120" w:line="480" w:lineRule="auto"/>
            </w:pPr>
            <w:r>
              <w:rPr>
                <w:color w:val="000000" w:themeColor="text1"/>
              </w:rPr>
              <w:t>Metabolite formation</w:t>
            </w:r>
          </w:p>
        </w:tc>
        <w:tc>
          <w:tcPr>
            <w:tcW w:w="2693" w:type="dxa"/>
          </w:tcPr>
          <w:p w14:paraId="2602FCFC" w14:textId="77777777" w:rsidR="005C1897" w:rsidRDefault="005C1897" w:rsidP="005B7121">
            <w:pPr>
              <w:spacing w:after="120" w:line="480" w:lineRule="auto"/>
            </w:pPr>
            <w:r>
              <w:t>Essential – similarity in analogues and category members must be demonstrated</w:t>
            </w:r>
          </w:p>
        </w:tc>
        <w:tc>
          <w:tcPr>
            <w:tcW w:w="3119" w:type="dxa"/>
          </w:tcPr>
          <w:p w14:paraId="5BB0189A" w14:textId="77777777" w:rsidR="005C1897" w:rsidRDefault="005C1897" w:rsidP="005B7121">
            <w:pPr>
              <w:spacing w:after="120" w:line="480" w:lineRule="auto"/>
            </w:pPr>
            <w:r>
              <w:t>Essential – demonstrating the formation of a common metabolite / degradant, with similar rates of formation, is crucial to ensuring successful read-across</w:t>
            </w:r>
          </w:p>
        </w:tc>
        <w:tc>
          <w:tcPr>
            <w:tcW w:w="3015" w:type="dxa"/>
          </w:tcPr>
          <w:p w14:paraId="0DACA99C" w14:textId="77777777" w:rsidR="005C1897" w:rsidRDefault="005C1897" w:rsidP="005B7121">
            <w:pPr>
              <w:spacing w:after="120" w:line="480" w:lineRule="auto"/>
            </w:pPr>
            <w:r>
              <w:t>Non-essential. If metabolic information is known, then information may be provided</w:t>
            </w:r>
          </w:p>
        </w:tc>
        <w:tc>
          <w:tcPr>
            <w:tcW w:w="2716" w:type="dxa"/>
          </w:tcPr>
          <w:p w14:paraId="33F37B19" w14:textId="77777777" w:rsidR="005C1897" w:rsidRDefault="005C1897" w:rsidP="005B7121">
            <w:pPr>
              <w:spacing w:after="120" w:line="480" w:lineRule="auto"/>
            </w:pPr>
            <w:r>
              <w:t>Non-essential. If metabolic information is known, then information may be provided</w:t>
            </w:r>
          </w:p>
        </w:tc>
      </w:tr>
    </w:tbl>
    <w:p w14:paraId="6E5D0FC5" w14:textId="77777777" w:rsidR="005C1897" w:rsidRDefault="005C1897" w:rsidP="005B7121">
      <w:pPr>
        <w:spacing w:after="120" w:line="480" w:lineRule="auto"/>
        <w:jc w:val="both"/>
      </w:pPr>
    </w:p>
    <w:p w14:paraId="1FCA2AED" w14:textId="77777777" w:rsidR="00C054E5" w:rsidRDefault="00C054E5" w:rsidP="005B7121">
      <w:pPr>
        <w:spacing w:after="120" w:line="480" w:lineRule="auto"/>
        <w:jc w:val="both"/>
        <w:sectPr w:rsidR="00C054E5" w:rsidSect="005B7121">
          <w:type w:val="nextColumn"/>
          <w:pgSz w:w="16838" w:h="11906" w:orient="landscape"/>
          <w:pgMar w:top="1440" w:right="1440" w:bottom="1440" w:left="1440" w:header="709" w:footer="709" w:gutter="0"/>
          <w:lnNumType w:countBy="1" w:restart="continuous"/>
          <w:cols w:space="708"/>
          <w:docGrid w:linePitch="360"/>
        </w:sectPr>
      </w:pPr>
    </w:p>
    <w:p w14:paraId="784B77F4" w14:textId="77777777" w:rsidR="005C1897" w:rsidRPr="00F91AEE" w:rsidRDefault="005C1897" w:rsidP="005B7121">
      <w:pPr>
        <w:pStyle w:val="ListParagraph"/>
        <w:numPr>
          <w:ilvl w:val="0"/>
          <w:numId w:val="7"/>
        </w:numPr>
        <w:spacing w:after="120" w:line="480" w:lineRule="auto"/>
        <w:rPr>
          <w:b/>
          <w:bCs/>
        </w:rPr>
      </w:pPr>
      <w:r w:rsidRPr="00F91AEE">
        <w:rPr>
          <w:b/>
          <w:bCs/>
        </w:rPr>
        <w:t>Discussion</w:t>
      </w:r>
    </w:p>
    <w:p w14:paraId="7597F493" w14:textId="77777777" w:rsidR="005C1897" w:rsidRDefault="005C1897" w:rsidP="005B7121">
      <w:pPr>
        <w:spacing w:after="120" w:line="480" w:lineRule="auto"/>
        <w:jc w:val="both"/>
      </w:pPr>
    </w:p>
    <w:p w14:paraId="7227B2DF" w14:textId="68F113C6" w:rsidR="000E714A" w:rsidRDefault="00161F6A" w:rsidP="005B7121">
      <w:pPr>
        <w:spacing w:after="120" w:line="480" w:lineRule="auto"/>
        <w:jc w:val="both"/>
      </w:pPr>
      <w:r>
        <w:t xml:space="preserve">This study </w:t>
      </w:r>
      <w:r w:rsidR="00F90CE9">
        <w:t xml:space="preserve">has </w:t>
      </w:r>
      <w:r>
        <w:t>define</w:t>
      </w:r>
      <w:r w:rsidR="00F90CE9">
        <w:t>d</w:t>
      </w:r>
      <w:r>
        <w:t xml:space="preserve"> the domains of analogues </w:t>
      </w:r>
      <w:r w:rsidR="00E24F0F">
        <w:t xml:space="preserve">and categories </w:t>
      </w:r>
      <w:r>
        <w:t>for read-across with a particular focus on deriving a suitable conclusion</w:t>
      </w:r>
      <w:r w:rsidR="00934F4C">
        <w:t xml:space="preserve"> for the question of whether two</w:t>
      </w:r>
      <w:r w:rsidR="007068EF">
        <w:t>, or more,</w:t>
      </w:r>
      <w:r w:rsidR="00934F4C">
        <w:t xml:space="preserve"> compounds are “similar”. The complexity</w:t>
      </w:r>
      <w:r w:rsidR="005D51C2">
        <w:t xml:space="preserve"> </w:t>
      </w:r>
      <w:r w:rsidR="00934F4C">
        <w:t xml:space="preserve">of answering this </w:t>
      </w:r>
      <w:r w:rsidR="00760E22">
        <w:t xml:space="preserve">question is well </w:t>
      </w:r>
      <w:r w:rsidR="006F5774">
        <w:t>known and is the cornerstone of acceptance of read-across predictions for data gap filling</w:t>
      </w:r>
      <w:r w:rsidR="008A54C0">
        <w:t xml:space="preserve"> </w:t>
      </w:r>
      <w:r w:rsidR="00F73B04">
        <w:t>[2]</w:t>
      </w:r>
      <w:r w:rsidR="006F5774">
        <w:t xml:space="preserve">. Until this time, </w:t>
      </w:r>
      <w:r w:rsidR="00105140">
        <w:t xml:space="preserve">the answer to this question has either been a subjective response built on weight of evidence </w:t>
      </w:r>
      <w:r w:rsidR="00F73B04">
        <w:t>[4, 4</w:t>
      </w:r>
      <w:r w:rsidR="00EB3463">
        <w:t>6</w:t>
      </w:r>
      <w:r w:rsidR="00F73B04">
        <w:t>]</w:t>
      </w:r>
      <w:r w:rsidR="00105140">
        <w:t xml:space="preserve">, or a more parametric approach based solely on molecular structure and properties </w:t>
      </w:r>
      <w:r w:rsidR="00F73B04">
        <w:t>[4</w:t>
      </w:r>
      <w:r w:rsidR="00EB3463">
        <w:t>7</w:t>
      </w:r>
      <w:r w:rsidR="00F73B04">
        <w:t>]</w:t>
      </w:r>
      <w:r w:rsidR="00FB6C4F">
        <w:t xml:space="preserve">. </w:t>
      </w:r>
      <w:r w:rsidR="00641221">
        <w:t xml:space="preserve">The approach described in this paper attempts to draw on the strengths of both types of analyses, </w:t>
      </w:r>
      <w:r w:rsidR="00E24F0F">
        <w:t>i</w:t>
      </w:r>
      <w:r w:rsidR="005D51C2">
        <w:t xml:space="preserve">n turn </w:t>
      </w:r>
      <w:r w:rsidR="004A02BB">
        <w:t>reducing</w:t>
      </w:r>
      <w:r w:rsidR="00CF4757">
        <w:t xml:space="preserve"> the weaknesses</w:t>
      </w:r>
      <w:r w:rsidR="000D133F">
        <w:t xml:space="preserve">. </w:t>
      </w:r>
      <w:r w:rsidR="000B3E3C">
        <w:t xml:space="preserve">Specifically, </w:t>
      </w:r>
      <w:r w:rsidR="001C3A33">
        <w:t xml:space="preserve">in this study we have derived a scheme that incorporates all properties of analogues </w:t>
      </w:r>
      <w:r w:rsidR="009D0207">
        <w:t>identified by ECHA’s RAAF</w:t>
      </w:r>
      <w:r w:rsidR="00A913E5">
        <w:t xml:space="preserve"> </w:t>
      </w:r>
      <w:r w:rsidR="00F73B04">
        <w:t>[3]</w:t>
      </w:r>
      <w:r w:rsidR="00687FE3">
        <w:t>,</w:t>
      </w:r>
      <w:r w:rsidR="009D0207">
        <w:t xml:space="preserve"> as well as those associated with known uncertainties</w:t>
      </w:r>
      <w:r w:rsidR="00A913E5">
        <w:t xml:space="preserve"> </w:t>
      </w:r>
      <w:r w:rsidR="00F73B04">
        <w:t>[5]</w:t>
      </w:r>
      <w:r w:rsidR="009D0207">
        <w:t xml:space="preserve">. </w:t>
      </w:r>
      <w:r w:rsidR="00B666F4">
        <w:t>Going beyond the identification of these properties, it has attempted to quantify differences</w:t>
      </w:r>
      <w:r w:rsidR="000C00DA">
        <w:t xml:space="preserve"> between molecules</w:t>
      </w:r>
      <w:r w:rsidR="000E714A">
        <w:t xml:space="preserve"> providing a means of defining the similarity between analogues</w:t>
      </w:r>
      <w:r w:rsidR="00B666F4">
        <w:t>.</w:t>
      </w:r>
    </w:p>
    <w:p w14:paraId="204BAD89" w14:textId="03908DD1" w:rsidR="00681014" w:rsidRDefault="0037460B" w:rsidP="005B7121">
      <w:pPr>
        <w:spacing w:after="120" w:line="480" w:lineRule="auto"/>
        <w:jc w:val="both"/>
      </w:pPr>
      <w:r>
        <w:t>The definition of the domain of read-across</w:t>
      </w:r>
      <w:r w:rsidR="00C066CA">
        <w:t xml:space="preserve"> </w:t>
      </w:r>
      <w:r w:rsidR="00EE59BD">
        <w:t>is defined in three steps</w:t>
      </w:r>
      <w:r w:rsidR="00A73DD3">
        <w:t xml:space="preserve"> relating to chemistry (structure and properties), </w:t>
      </w:r>
      <w:proofErr w:type="spellStart"/>
      <w:r w:rsidR="00A73DD3">
        <w:t>toxicodynamics</w:t>
      </w:r>
      <w:proofErr w:type="spellEnd"/>
      <w:r w:rsidR="00A73DD3">
        <w:t xml:space="preserve"> and </w:t>
      </w:r>
      <w:proofErr w:type="spellStart"/>
      <w:r w:rsidR="00A73DD3">
        <w:t>toxicokinetics</w:t>
      </w:r>
      <w:proofErr w:type="spellEnd"/>
      <w:r w:rsidR="00802424">
        <w:t>. The significance of each is described in more detail below.</w:t>
      </w:r>
      <w:r w:rsidR="00681014">
        <w:t xml:space="preserve"> </w:t>
      </w:r>
    </w:p>
    <w:p w14:paraId="47FA68DF" w14:textId="26E89F03" w:rsidR="00596C4F" w:rsidRPr="00A30D56" w:rsidRDefault="00596C4F" w:rsidP="005B7121">
      <w:pPr>
        <w:spacing w:after="120" w:line="480" w:lineRule="auto"/>
        <w:jc w:val="both"/>
        <w:rPr>
          <w:i/>
          <w:iCs/>
        </w:rPr>
      </w:pPr>
      <w:r w:rsidRPr="00A30D56">
        <w:rPr>
          <w:i/>
          <w:iCs/>
        </w:rPr>
        <w:t>4.1</w:t>
      </w:r>
      <w:r w:rsidR="00A30D56" w:rsidRPr="00A30D56">
        <w:rPr>
          <w:i/>
          <w:iCs/>
        </w:rPr>
        <w:t xml:space="preserve"> Chemistry Domain</w:t>
      </w:r>
    </w:p>
    <w:p w14:paraId="2272C118" w14:textId="52FD1FA1" w:rsidR="005B04D7" w:rsidRDefault="001002AF" w:rsidP="005B7121">
      <w:pPr>
        <w:spacing w:after="120" w:line="480" w:lineRule="auto"/>
        <w:jc w:val="both"/>
      </w:pPr>
      <w:r>
        <w:t>The simplest step in</w:t>
      </w:r>
      <w:r w:rsidR="00A73DD3">
        <w:t xml:space="preserve"> defining the </w:t>
      </w:r>
      <w:r w:rsidR="00802424">
        <w:t>do</w:t>
      </w:r>
      <w:r w:rsidR="00A73DD3">
        <w:t>m</w:t>
      </w:r>
      <w:r w:rsidR="00802424">
        <w:t xml:space="preserve">ain of a read-across analogue </w:t>
      </w:r>
      <w:r w:rsidR="00782446">
        <w:t xml:space="preserve">relates to chemical </w:t>
      </w:r>
      <w:r w:rsidR="008C5FB6">
        <w:t>structure and properties</w:t>
      </w:r>
      <w:r w:rsidR="00ED7944">
        <w:t xml:space="preserve">. This </w:t>
      </w:r>
      <w:r w:rsidR="008C5FB6">
        <w:t>is the most fundamental for similarity with regard to read-across</w:t>
      </w:r>
      <w:r w:rsidR="00ED7944">
        <w:t xml:space="preserve"> and </w:t>
      </w:r>
      <w:r>
        <w:t>(</w:t>
      </w:r>
      <w:r w:rsidR="00ED7944">
        <w:t xml:space="preserve">with the possible exception of </w:t>
      </w:r>
      <w:r w:rsidR="001A2034">
        <w:t>consideration of UVCBs</w:t>
      </w:r>
      <w:r w:rsidR="00B57130">
        <w:t>, mixtures and for biological read-across</w:t>
      </w:r>
      <w:r>
        <w:t>)</w:t>
      </w:r>
      <w:r w:rsidR="001A2034">
        <w:t xml:space="preserve"> the structural basis of the read-across should be stated explicitly</w:t>
      </w:r>
      <w:r w:rsidR="008C5FB6">
        <w:t>. Should a mo</w:t>
      </w:r>
      <w:r w:rsidR="0013100D">
        <w:t xml:space="preserve">lecule </w:t>
      </w:r>
      <w:r w:rsidR="00B57130">
        <w:t xml:space="preserve">(or a constituent of a UVCB or mixture) </w:t>
      </w:r>
      <w:r w:rsidR="0013100D">
        <w:t>be deemed dissimilar in terms of structure or properties</w:t>
      </w:r>
      <w:r w:rsidR="00C00749">
        <w:t xml:space="preserve">, then it would be considered to fall out of domain. There are, of course, many subtleties here. </w:t>
      </w:r>
      <w:r w:rsidR="00E87D2D">
        <w:t xml:space="preserve">Whilst category members may possess quite different </w:t>
      </w:r>
      <w:r>
        <w:t xml:space="preserve">global </w:t>
      </w:r>
      <w:r w:rsidR="00E87D2D">
        <w:t>structures</w:t>
      </w:r>
      <w:r>
        <w:t>,</w:t>
      </w:r>
      <w:r w:rsidR="00E87D2D">
        <w:t xml:space="preserve"> provided that the key fragment driving toxicity is preserved, i</w:t>
      </w:r>
      <w:r w:rsidR="00047856">
        <w:t xml:space="preserve">t </w:t>
      </w:r>
      <w:r>
        <w:t>may be considered similar. However, it is also</w:t>
      </w:r>
      <w:r w:rsidR="00E87D2D">
        <w:t xml:space="preserve"> </w:t>
      </w:r>
      <w:r w:rsidR="00047856">
        <w:t xml:space="preserve">recognised that even very minor </w:t>
      </w:r>
      <w:r w:rsidR="00E87D2D">
        <w:t xml:space="preserve">structural </w:t>
      </w:r>
      <w:r w:rsidR="00047856">
        <w:t>changes</w:t>
      </w:r>
      <w:r w:rsidR="00114520">
        <w:t xml:space="preserve"> can be associated with “activity cliffs”</w:t>
      </w:r>
      <w:r w:rsidR="006C7E4C">
        <w:t xml:space="preserve"> </w:t>
      </w:r>
      <w:r w:rsidR="00F73B04">
        <w:t>[</w:t>
      </w:r>
      <w:r w:rsidR="00EB3463">
        <w:t>48</w:t>
      </w:r>
      <w:r w:rsidR="00F73B04">
        <w:t>]</w:t>
      </w:r>
      <w:r w:rsidR="00E87D2D">
        <w:t>. These are, in essence, dramatic shifts i</w:t>
      </w:r>
      <w:r w:rsidR="002C3266">
        <w:t>n</w:t>
      </w:r>
      <w:r w:rsidR="00E87D2D">
        <w:t xml:space="preserve"> bioactivity resulting from apparently minor structural modifications, which would lead to the discounting of an analogue. </w:t>
      </w:r>
      <w:r w:rsidR="004241F5">
        <w:t xml:space="preserve"> </w:t>
      </w:r>
    </w:p>
    <w:p w14:paraId="31CD47D8" w14:textId="0FB7435C" w:rsidR="008508EA" w:rsidRDefault="006527E3" w:rsidP="005B7121">
      <w:pPr>
        <w:spacing w:after="120" w:line="480" w:lineRule="auto"/>
        <w:jc w:val="both"/>
        <w:rPr>
          <w:color w:val="000000" w:themeColor="text1"/>
        </w:rPr>
      </w:pPr>
      <w:r>
        <w:t>To illustrate the issue of activity cliffs, t</w:t>
      </w:r>
      <w:r w:rsidR="0078431C">
        <w:t xml:space="preserve">he use of read-across for skin sensitisation is a case in point. </w:t>
      </w:r>
      <w:r w:rsidR="00711DD2">
        <w:t>The MIE for s</w:t>
      </w:r>
      <w:r w:rsidR="0078431C">
        <w:t xml:space="preserve">kin sensitisation </w:t>
      </w:r>
      <w:r w:rsidR="00711DD2">
        <w:t>is the</w:t>
      </w:r>
      <w:r w:rsidR="00E87D2D">
        <w:t xml:space="preserve"> covalent reaction of a</w:t>
      </w:r>
      <w:r w:rsidR="00711DD2">
        <w:t xml:space="preserve"> </w:t>
      </w:r>
      <w:proofErr w:type="spellStart"/>
      <w:r w:rsidR="00711DD2">
        <w:t>hapten</w:t>
      </w:r>
      <w:proofErr w:type="spellEnd"/>
      <w:r w:rsidR="00711DD2">
        <w:t xml:space="preserve"> with a skin immunoprotein </w:t>
      </w:r>
      <w:r w:rsidR="00F73B04">
        <w:t>[</w:t>
      </w:r>
      <w:r w:rsidR="00EB3463">
        <w:t>49</w:t>
      </w:r>
      <w:r w:rsidR="00F73B04">
        <w:t>]</w:t>
      </w:r>
      <w:r w:rsidR="005F168C">
        <w:t xml:space="preserve">. Therefore, for </w:t>
      </w:r>
      <w:r w:rsidR="005F168C" w:rsidRPr="00492C41">
        <w:rPr>
          <w:color w:val="000000" w:themeColor="text1"/>
        </w:rPr>
        <w:t xml:space="preserve">this endpoint, analogues </w:t>
      </w:r>
      <w:r w:rsidR="0078431C" w:rsidRPr="00492C41">
        <w:rPr>
          <w:color w:val="000000" w:themeColor="text1"/>
        </w:rPr>
        <w:t>can</w:t>
      </w:r>
      <w:r w:rsidR="005F168C" w:rsidRPr="00492C41">
        <w:rPr>
          <w:color w:val="000000" w:themeColor="text1"/>
        </w:rPr>
        <w:t xml:space="preserve"> </w:t>
      </w:r>
      <w:r w:rsidR="0078431C" w:rsidRPr="00492C41">
        <w:rPr>
          <w:color w:val="000000" w:themeColor="text1"/>
        </w:rPr>
        <w:t>potentially be read across</w:t>
      </w:r>
      <w:r w:rsidR="000112BE" w:rsidRPr="00492C41">
        <w:rPr>
          <w:color w:val="000000" w:themeColor="text1"/>
        </w:rPr>
        <w:t xml:space="preserve"> from</w:t>
      </w:r>
      <w:r w:rsidR="00CB379F" w:rsidRPr="00492C41">
        <w:rPr>
          <w:color w:val="000000" w:themeColor="text1"/>
        </w:rPr>
        <w:t xml:space="preserve"> fragments associated with reactivity</w:t>
      </w:r>
      <w:r w:rsidR="005F168C" w:rsidRPr="00492C41">
        <w:rPr>
          <w:color w:val="000000" w:themeColor="text1"/>
        </w:rPr>
        <w:t xml:space="preserve"> </w:t>
      </w:r>
      <w:r w:rsidR="00452B74">
        <w:rPr>
          <w:color w:val="000000" w:themeColor="text1"/>
        </w:rPr>
        <w:t>(</w:t>
      </w:r>
      <w:r w:rsidR="005F168C" w:rsidRPr="00492C41">
        <w:rPr>
          <w:color w:val="000000" w:themeColor="text1"/>
        </w:rPr>
        <w:t xml:space="preserve">many of these </w:t>
      </w:r>
      <w:r w:rsidR="00452B74">
        <w:rPr>
          <w:color w:val="000000" w:themeColor="text1"/>
        </w:rPr>
        <w:t>being</w:t>
      </w:r>
      <w:r w:rsidR="00452B74" w:rsidRPr="00492C41">
        <w:rPr>
          <w:color w:val="000000" w:themeColor="text1"/>
        </w:rPr>
        <w:t xml:space="preserve"> </w:t>
      </w:r>
      <w:r w:rsidR="005F168C" w:rsidRPr="00492C41">
        <w:rPr>
          <w:color w:val="000000" w:themeColor="text1"/>
        </w:rPr>
        <w:t>publicly available</w:t>
      </w:r>
      <w:r w:rsidR="00452B74">
        <w:rPr>
          <w:color w:val="000000" w:themeColor="text1"/>
        </w:rPr>
        <w:t>,</w:t>
      </w:r>
      <w:r w:rsidR="005F168C" w:rsidRPr="00492C41">
        <w:rPr>
          <w:color w:val="000000" w:themeColor="text1"/>
        </w:rPr>
        <w:t xml:space="preserve"> </w:t>
      </w:r>
      <w:r w:rsidR="00743CAE" w:rsidRPr="00492C41">
        <w:rPr>
          <w:color w:val="000000" w:themeColor="text1"/>
        </w:rPr>
        <w:t>e.g. Enoch et al</w:t>
      </w:r>
      <w:r w:rsidR="005F168C" w:rsidRPr="00492C41">
        <w:rPr>
          <w:color w:val="000000" w:themeColor="text1"/>
        </w:rPr>
        <w:t>.</w:t>
      </w:r>
      <w:r w:rsidR="00F73B04">
        <w:rPr>
          <w:color w:val="000000" w:themeColor="text1"/>
        </w:rPr>
        <w:t xml:space="preserve"> [5</w:t>
      </w:r>
      <w:r w:rsidR="00EB3463">
        <w:rPr>
          <w:color w:val="000000" w:themeColor="text1"/>
        </w:rPr>
        <w:t>0</w:t>
      </w:r>
      <w:r w:rsidR="00F73B04">
        <w:rPr>
          <w:color w:val="000000" w:themeColor="text1"/>
        </w:rPr>
        <w:t>, 5</w:t>
      </w:r>
      <w:r w:rsidR="00EB3463">
        <w:rPr>
          <w:color w:val="000000" w:themeColor="text1"/>
        </w:rPr>
        <w:t>1</w:t>
      </w:r>
      <w:r w:rsidR="00F73B04">
        <w:rPr>
          <w:color w:val="000000" w:themeColor="text1"/>
        </w:rPr>
        <w:t>]</w:t>
      </w:r>
      <w:r w:rsidR="00CB379F" w:rsidRPr="00492C41">
        <w:rPr>
          <w:color w:val="000000" w:themeColor="text1"/>
        </w:rPr>
        <w:t>. A small change in the</w:t>
      </w:r>
      <w:r w:rsidR="00E87D2D" w:rsidRPr="00492C41">
        <w:rPr>
          <w:color w:val="000000" w:themeColor="text1"/>
        </w:rPr>
        <w:t xml:space="preserve"> environment about such a</w:t>
      </w:r>
      <w:r w:rsidR="00CB379F" w:rsidRPr="00492C41">
        <w:rPr>
          <w:color w:val="000000" w:themeColor="text1"/>
        </w:rPr>
        <w:t xml:space="preserve"> fragment </w:t>
      </w:r>
      <w:r w:rsidR="00E87D2D" w:rsidRPr="00492C41">
        <w:rPr>
          <w:color w:val="000000" w:themeColor="text1"/>
        </w:rPr>
        <w:t xml:space="preserve">may </w:t>
      </w:r>
      <w:r w:rsidR="00CB379F" w:rsidRPr="00492C41">
        <w:rPr>
          <w:color w:val="000000" w:themeColor="text1"/>
        </w:rPr>
        <w:t>significantly alter reactivity</w:t>
      </w:r>
      <w:r w:rsidR="00E87D2D" w:rsidRPr="00492C41">
        <w:rPr>
          <w:color w:val="000000" w:themeColor="text1"/>
        </w:rPr>
        <w:t>.</w:t>
      </w:r>
      <w:r w:rsidR="00AF2EDD" w:rsidRPr="00492C41">
        <w:rPr>
          <w:color w:val="000000" w:themeColor="text1"/>
        </w:rPr>
        <w:t xml:space="preserve"> </w:t>
      </w:r>
      <w:r w:rsidR="00E87D2D" w:rsidRPr="00492C41">
        <w:rPr>
          <w:color w:val="000000" w:themeColor="text1"/>
        </w:rPr>
        <w:t>F</w:t>
      </w:r>
      <w:r w:rsidR="00AF2EDD" w:rsidRPr="00492C41">
        <w:rPr>
          <w:color w:val="000000" w:themeColor="text1"/>
        </w:rPr>
        <w:t>or instance</w:t>
      </w:r>
      <w:r w:rsidR="00E87D2D" w:rsidRPr="00492C41">
        <w:rPr>
          <w:color w:val="000000" w:themeColor="text1"/>
        </w:rPr>
        <w:t xml:space="preserve">, </w:t>
      </w:r>
      <w:r w:rsidR="005F232C">
        <w:rPr>
          <w:color w:val="000000" w:themeColor="text1"/>
        </w:rPr>
        <w:t xml:space="preserve">as shown in Figure </w:t>
      </w:r>
      <w:r w:rsidR="001002AF">
        <w:rPr>
          <w:color w:val="000000" w:themeColor="text1"/>
        </w:rPr>
        <w:t>2</w:t>
      </w:r>
      <w:r w:rsidR="005F232C">
        <w:rPr>
          <w:color w:val="000000" w:themeColor="text1"/>
        </w:rPr>
        <w:t xml:space="preserve">, </w:t>
      </w:r>
      <w:r w:rsidR="00E87D2D" w:rsidRPr="00492C41">
        <w:rPr>
          <w:color w:val="000000" w:themeColor="text1"/>
        </w:rPr>
        <w:t xml:space="preserve">the susceptibility of the </w:t>
      </w:r>
      <w:r w:rsidR="00E87D2D" w:rsidRPr="00492C41">
        <w:rPr>
          <w:rFonts w:cstheme="minorHAnsi"/>
          <w:i/>
          <w:iCs/>
          <w:color w:val="000000" w:themeColor="text1"/>
        </w:rPr>
        <w:t>α</w:t>
      </w:r>
      <w:r w:rsidR="00E87D2D" w:rsidRPr="00492C41">
        <w:rPr>
          <w:i/>
          <w:iCs/>
          <w:color w:val="000000" w:themeColor="text1"/>
        </w:rPr>
        <w:t>,</w:t>
      </w:r>
      <w:r w:rsidR="00E87D2D" w:rsidRPr="00492C41">
        <w:rPr>
          <w:rFonts w:cstheme="minorHAnsi"/>
          <w:i/>
          <w:iCs/>
          <w:color w:val="000000" w:themeColor="text1"/>
        </w:rPr>
        <w:t>β</w:t>
      </w:r>
      <w:r w:rsidR="00E87D2D" w:rsidRPr="00492C41">
        <w:rPr>
          <w:color w:val="000000" w:themeColor="text1"/>
        </w:rPr>
        <w:t>-unsaturated carbonyl moiety towards conjugate addition renders it a standard alert for protein alkylation – potentially enabling read-across over a range of molecules broader than close structural analogues. However, the reactivity may be significantly influenced by the identity of the substituents present at either alkene carbon atom. The simple addition of a methyl substituent (an electron donating group) at these positions shall impair reactivity, whereas a halogen atom (electron withdrawing) shall enhance it</w:t>
      </w:r>
      <w:r w:rsidR="00326097" w:rsidRPr="00492C41">
        <w:rPr>
          <w:color w:val="000000" w:themeColor="text1"/>
        </w:rPr>
        <w:t xml:space="preserve"> </w:t>
      </w:r>
      <w:r w:rsidR="00F73B04">
        <w:rPr>
          <w:color w:val="000000" w:themeColor="text1"/>
        </w:rPr>
        <w:t>[</w:t>
      </w:r>
      <w:r w:rsidR="00911935">
        <w:rPr>
          <w:color w:val="000000" w:themeColor="text1"/>
        </w:rPr>
        <w:t>52</w:t>
      </w:r>
      <w:r w:rsidR="00F73B04">
        <w:rPr>
          <w:color w:val="000000" w:themeColor="text1"/>
        </w:rPr>
        <w:t>]</w:t>
      </w:r>
      <w:r w:rsidR="00255089" w:rsidRPr="00492C41">
        <w:rPr>
          <w:color w:val="000000" w:themeColor="text1"/>
        </w:rPr>
        <w:t>.</w:t>
      </w:r>
      <w:r w:rsidR="006360F1" w:rsidRPr="00492C41">
        <w:rPr>
          <w:color w:val="000000" w:themeColor="text1"/>
        </w:rPr>
        <w:t xml:space="preserve"> Thus, there is a need to accurately identify and describe the structural basis for </w:t>
      </w:r>
      <w:r w:rsidR="008508EA" w:rsidRPr="00492C41">
        <w:rPr>
          <w:color w:val="000000" w:themeColor="text1"/>
        </w:rPr>
        <w:t>grouping</w:t>
      </w:r>
      <w:r w:rsidR="00E87D2D" w:rsidRPr="00492C41">
        <w:rPr>
          <w:color w:val="000000" w:themeColor="text1"/>
        </w:rPr>
        <w:t xml:space="preserve"> in order that such issues may be accounted for.</w:t>
      </w:r>
    </w:p>
    <w:p w14:paraId="56FD2E27" w14:textId="77777777" w:rsidR="006F0C1B" w:rsidRDefault="006F0C1B" w:rsidP="005B7121">
      <w:pPr>
        <w:spacing w:after="120" w:line="480" w:lineRule="auto"/>
        <w:jc w:val="both"/>
        <w:rPr>
          <w:color w:val="000000" w:themeColor="text1"/>
        </w:rPr>
      </w:pPr>
    </w:p>
    <w:p w14:paraId="768AD3C0" w14:textId="4AD5BA38" w:rsidR="005F232C" w:rsidRDefault="006F0C1B" w:rsidP="005B7121">
      <w:pPr>
        <w:spacing w:after="120" w:line="480" w:lineRule="auto"/>
        <w:jc w:val="both"/>
        <w:rPr>
          <w:color w:val="000000" w:themeColor="text1"/>
        </w:rPr>
      </w:pPr>
      <w:r>
        <w:rPr>
          <w:noProof/>
          <w:color w:val="000000" w:themeColor="text1"/>
          <w:lang w:eastAsia="en-GB"/>
        </w:rPr>
        <w:drawing>
          <wp:inline distT="0" distB="0" distL="0" distR="0" wp14:anchorId="6E82EA30" wp14:editId="26F61D7B">
            <wp:extent cx="5907405"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7405" cy="865505"/>
                    </a:xfrm>
                    <a:prstGeom prst="rect">
                      <a:avLst/>
                    </a:prstGeom>
                    <a:noFill/>
                  </pic:spPr>
                </pic:pic>
              </a:graphicData>
            </a:graphic>
          </wp:inline>
        </w:drawing>
      </w:r>
    </w:p>
    <w:p w14:paraId="2476545C" w14:textId="049FCAFC" w:rsidR="004A2690" w:rsidRDefault="004A2690" w:rsidP="005B7121">
      <w:pPr>
        <w:spacing w:after="120" w:line="480" w:lineRule="auto"/>
        <w:jc w:val="both"/>
      </w:pPr>
      <w:r>
        <w:t xml:space="preserve">Figure </w:t>
      </w:r>
      <w:r w:rsidR="001002AF">
        <w:t>2</w:t>
      </w:r>
      <w:r>
        <w:t xml:space="preserve">. An example of an “activity cliff” where small </w:t>
      </w:r>
      <w:r w:rsidR="00D30CC5">
        <w:t>changes in chemical structure may have a significant influence on toxicity. Th</w:t>
      </w:r>
      <w:r w:rsidR="00BD692B">
        <w:t>e</w:t>
      </w:r>
      <w:r w:rsidR="00D30CC5">
        <w:t xml:space="preserve"> </w:t>
      </w:r>
      <w:r w:rsidR="00BD692B">
        <w:t>example shown i</w:t>
      </w:r>
      <w:r>
        <w:t>llustrat</w:t>
      </w:r>
      <w:r w:rsidR="00BD692B">
        <w:t>es the</w:t>
      </w:r>
      <w:r>
        <w:t xml:space="preserve"> </w:t>
      </w:r>
      <w:r w:rsidRPr="00BD692B">
        <w:t>α</w:t>
      </w:r>
      <w:r>
        <w:t>-substituent effect upon the reactivity of the cinnamaldehyde derivatives towards reduced glutathione</w:t>
      </w:r>
      <w:r w:rsidR="00D30CC5">
        <w:t xml:space="preserve"> (GSH)</w:t>
      </w:r>
      <w:r>
        <w:t>.</w:t>
      </w:r>
    </w:p>
    <w:p w14:paraId="3D1A1BC2" w14:textId="6A7CCDF6" w:rsidR="005F232C" w:rsidRDefault="005F232C" w:rsidP="005B7121">
      <w:pPr>
        <w:spacing w:after="120" w:line="480" w:lineRule="auto"/>
        <w:jc w:val="both"/>
        <w:rPr>
          <w:color w:val="000000" w:themeColor="text1"/>
        </w:rPr>
      </w:pPr>
    </w:p>
    <w:p w14:paraId="066335CE" w14:textId="096CFE14" w:rsidR="00DA647E" w:rsidRDefault="00FF5EAD" w:rsidP="005B7121">
      <w:pPr>
        <w:spacing w:after="120" w:line="480" w:lineRule="auto"/>
        <w:jc w:val="both"/>
      </w:pPr>
      <w:r>
        <w:t xml:space="preserve">Table </w:t>
      </w:r>
      <w:r w:rsidR="00F8081B">
        <w:t>2</w:t>
      </w:r>
      <w:r>
        <w:t xml:space="preserve"> illustrates the range of properties</w:t>
      </w:r>
      <w:r w:rsidR="001F3C54">
        <w:t xml:space="preserve"> that </w:t>
      </w:r>
      <w:r w:rsidR="00F8081B">
        <w:t>can</w:t>
      </w:r>
      <w:r w:rsidR="001F3C54">
        <w:t xml:space="preserve"> be considered to define</w:t>
      </w:r>
      <w:r w:rsidR="00785981">
        <w:t xml:space="preserve"> </w:t>
      </w:r>
      <w:r w:rsidR="001F3C54">
        <w:t xml:space="preserve">the chemistry domain for a read-across analogue. </w:t>
      </w:r>
      <w:r w:rsidR="004D06F7">
        <w:t xml:space="preserve">For a single chemical (as opposed to a UVCB), the </w:t>
      </w:r>
      <w:r w:rsidR="0007327B">
        <w:t xml:space="preserve">starting point is the definition of </w:t>
      </w:r>
      <w:r w:rsidR="00F8081B">
        <w:t xml:space="preserve">the </w:t>
      </w:r>
      <w:r w:rsidR="0007327B">
        <w:t>structural fragment</w:t>
      </w:r>
      <w:r w:rsidR="00F8081B">
        <w:t>(s)</w:t>
      </w:r>
      <w:r w:rsidR="0007327B">
        <w:t xml:space="preserve"> on which the </w:t>
      </w:r>
      <w:r w:rsidR="005877B7">
        <w:t>grouping is based. For the purposes of the triazole fungicides, it is the triazole structure</w:t>
      </w:r>
      <w:r w:rsidR="00022A64">
        <w:t xml:space="preserve"> that is the fundamental key unit for read-across. This is on the basis of </w:t>
      </w:r>
      <w:r w:rsidR="00452B74">
        <w:t xml:space="preserve">it </w:t>
      </w:r>
      <w:r w:rsidR="00022A64">
        <w:t>promoting a recognisable mode of toxic action</w:t>
      </w:r>
      <w:r w:rsidR="00E91BE5">
        <w:t xml:space="preserve"> </w:t>
      </w:r>
      <w:r w:rsidR="00F73B04">
        <w:t>[</w:t>
      </w:r>
      <w:r w:rsidR="00911935">
        <w:t>53</w:t>
      </w:r>
      <w:r w:rsidR="00F73B04">
        <w:t>]</w:t>
      </w:r>
      <w:r w:rsidR="00E91BE5">
        <w:t>. It is noted that different types of fragments will be required for different endpoints. The molecule is then defined f</w:t>
      </w:r>
      <w:r w:rsidR="007031A5">
        <w:t xml:space="preserve">urther in the fragments that describe the structure – such that any </w:t>
      </w:r>
      <w:r w:rsidR="00A65D4D">
        <w:t xml:space="preserve">differences in structure may be determined. </w:t>
      </w:r>
      <w:r w:rsidR="00FD7DBA">
        <w:t>Chemical similarity can be ensured</w:t>
      </w:r>
      <w:r w:rsidR="00D64544">
        <w:t xml:space="preserve"> by a metric such as provided by the </w:t>
      </w:r>
      <w:proofErr w:type="spellStart"/>
      <w:r w:rsidR="00D64544">
        <w:t>Tanimoto</w:t>
      </w:r>
      <w:proofErr w:type="spellEnd"/>
      <w:r w:rsidR="00D64544">
        <w:t xml:space="preserve"> score derived from a suitable molecular fingerprint</w:t>
      </w:r>
      <w:r w:rsidR="00155A46">
        <w:t xml:space="preserve">. The score can be provided for the one-to-one analogues (see Table 3), but </w:t>
      </w:r>
      <w:r w:rsidR="00577FEF">
        <w:t xml:space="preserve">in this case would be taken in isolation – it being difficult to demonstrate </w:t>
      </w:r>
      <w:r w:rsidR="00A007B6">
        <w:t xml:space="preserve">similarity on a single score alone </w:t>
      </w:r>
      <w:r w:rsidR="00F73B04">
        <w:t>[5</w:t>
      </w:r>
      <w:r w:rsidR="00911935">
        <w:t>4</w:t>
      </w:r>
      <w:r w:rsidR="00F73B04">
        <w:t>]</w:t>
      </w:r>
      <w:r w:rsidR="00A007B6">
        <w:t xml:space="preserve">. </w:t>
      </w:r>
      <w:r w:rsidR="006827A6">
        <w:t xml:space="preserve">However, if a low similarity score was determined, this may need to be investigated </w:t>
      </w:r>
      <w:r w:rsidR="001B768D">
        <w:t xml:space="preserve">and </w:t>
      </w:r>
      <w:r w:rsidR="006827A6">
        <w:t>underst</w:t>
      </w:r>
      <w:r w:rsidR="001B768D">
        <w:t>ood</w:t>
      </w:r>
      <w:r w:rsidR="006827A6">
        <w:t xml:space="preserve">. Similarity scores may be more useful for the category approach (Table </w:t>
      </w:r>
      <w:r w:rsidR="0088632C">
        <w:t>6</w:t>
      </w:r>
      <w:r w:rsidR="006827A6">
        <w:t>)</w:t>
      </w:r>
      <w:r w:rsidR="00D857B1">
        <w:t xml:space="preserve"> and may give an indication of the “consistency” of analogues, in other words whether </w:t>
      </w:r>
      <w:r w:rsidR="00DA647E">
        <w:t xml:space="preserve">all scores are in a similar range. Thus, for the triazoles, the individual </w:t>
      </w:r>
      <w:proofErr w:type="spellStart"/>
      <w:r w:rsidR="00DA647E">
        <w:t>Tanimoto</w:t>
      </w:r>
      <w:proofErr w:type="spellEnd"/>
      <w:r w:rsidR="00DA647E">
        <w:t xml:space="preserve"> score shows a high </w:t>
      </w:r>
      <w:r w:rsidR="00E851E0">
        <w:t>degree of similarity (0.83) between the target and source</w:t>
      </w:r>
      <w:r w:rsidR="00677998">
        <w:t xml:space="preserve"> molecules, with an overall highly consistent range of </w:t>
      </w:r>
      <w:r w:rsidR="00677998" w:rsidRPr="0091354A">
        <w:t>scores (</w:t>
      </w:r>
      <w:r w:rsidR="00AF3495" w:rsidRPr="0091354A">
        <w:t xml:space="preserve">0.62 to 0.85). </w:t>
      </w:r>
    </w:p>
    <w:p w14:paraId="4329E438" w14:textId="355BF213" w:rsidR="00FF5EAD" w:rsidRDefault="00700C56" w:rsidP="005B7121">
      <w:pPr>
        <w:spacing w:after="120" w:line="480" w:lineRule="auto"/>
        <w:jc w:val="both"/>
      </w:pPr>
      <w:r>
        <w:t xml:space="preserve">There </w:t>
      </w:r>
      <w:r w:rsidR="00582C0E">
        <w:t xml:space="preserve">is </w:t>
      </w:r>
      <w:r>
        <w:t xml:space="preserve">a large range of </w:t>
      </w:r>
      <w:proofErr w:type="spellStart"/>
      <w:r>
        <w:t>physico</w:t>
      </w:r>
      <w:proofErr w:type="spellEnd"/>
      <w:r>
        <w:t>-chemical properties that can be calculated for the molecules inc</w:t>
      </w:r>
      <w:r w:rsidR="00780B50">
        <w:t xml:space="preserve">luded in the </w:t>
      </w:r>
      <w:r>
        <w:t>read-across</w:t>
      </w:r>
      <w:r w:rsidR="00780B50">
        <w:t xml:space="preserve">. A small selection is given in Tables </w:t>
      </w:r>
      <w:r w:rsidR="00336275">
        <w:t>5</w:t>
      </w:r>
      <w:r w:rsidR="00780B50">
        <w:t xml:space="preserve"> and </w:t>
      </w:r>
      <w:r w:rsidR="00336275">
        <w:t>6</w:t>
      </w:r>
      <w:r w:rsidR="00780B50">
        <w:t>. Some are rather fundamental</w:t>
      </w:r>
      <w:r w:rsidR="00D52F35">
        <w:t>,</w:t>
      </w:r>
      <w:r w:rsidR="00780B50">
        <w:t xml:space="preserve"> e.g. log P and molecular weight</w:t>
      </w:r>
      <w:r w:rsidR="00D52F35">
        <w:t>,</w:t>
      </w:r>
      <w:r w:rsidR="00780B50">
        <w:t xml:space="preserve"> and will probably be appropriate regardless of the chemistry or endpoints. Others will be more context dependent</w:t>
      </w:r>
      <w:r w:rsidR="00C56F12">
        <w:t>:</w:t>
      </w:r>
      <w:r w:rsidR="00780B50">
        <w:t xml:space="preserve"> for instance measures of volatility, such as vapour pressure and Henry’s Law constant</w:t>
      </w:r>
      <w:r w:rsidR="00C56F12">
        <w:t>,</w:t>
      </w:r>
      <w:r w:rsidR="00780B50">
        <w:t xml:space="preserve"> may be useful for </w:t>
      </w:r>
      <w:r w:rsidR="00E2583D">
        <w:t>inhalation effects. In addition, measures of stability (or degradation) could be included here</w:t>
      </w:r>
      <w:r w:rsidR="00626E97">
        <w:t xml:space="preserve"> and may be essential for environmental endpoints</w:t>
      </w:r>
      <w:r w:rsidR="00E2583D">
        <w:t xml:space="preserve">. </w:t>
      </w:r>
      <w:r w:rsidR="0038375D">
        <w:t>The triazole</w:t>
      </w:r>
      <w:r w:rsidR="00582C0E">
        <w:t>s</w:t>
      </w:r>
      <w:r w:rsidR="0038375D">
        <w:t xml:space="preserve"> show similar ranges of properties with regard to those selected. The issue of how close a compound should be in terms of </w:t>
      </w:r>
      <w:r w:rsidR="00CE3576">
        <w:t xml:space="preserve">absolute properties </w:t>
      </w:r>
      <w:r w:rsidR="00C3237F">
        <w:t>is discussed in Section 4.4.</w:t>
      </w:r>
    </w:p>
    <w:p w14:paraId="5DCFEB66" w14:textId="77777777" w:rsidR="00FF5EAD" w:rsidRDefault="00FF5EAD" w:rsidP="005B7121">
      <w:pPr>
        <w:spacing w:after="120" w:line="480" w:lineRule="auto"/>
        <w:jc w:val="both"/>
      </w:pPr>
    </w:p>
    <w:p w14:paraId="1D0F693B" w14:textId="734F142F" w:rsidR="000E714A" w:rsidRDefault="00A30D56" w:rsidP="005B7121">
      <w:pPr>
        <w:spacing w:after="120" w:line="480" w:lineRule="auto"/>
        <w:jc w:val="both"/>
      </w:pPr>
      <w:r w:rsidRPr="00A30D56">
        <w:rPr>
          <w:i/>
          <w:iCs/>
        </w:rPr>
        <w:t xml:space="preserve">4.2 </w:t>
      </w:r>
      <w:proofErr w:type="spellStart"/>
      <w:r w:rsidRPr="00A30D56">
        <w:rPr>
          <w:i/>
          <w:iCs/>
        </w:rPr>
        <w:t>Toxicodynamics</w:t>
      </w:r>
      <w:proofErr w:type="spellEnd"/>
      <w:r w:rsidRPr="00A30D56">
        <w:rPr>
          <w:i/>
          <w:iCs/>
        </w:rPr>
        <w:t xml:space="preserve"> Domain</w:t>
      </w:r>
    </w:p>
    <w:p w14:paraId="376136DB" w14:textId="1972B0C7" w:rsidR="007A30E5" w:rsidRDefault="006763EA" w:rsidP="005B7121">
      <w:pPr>
        <w:spacing w:after="120" w:line="480" w:lineRule="auto"/>
        <w:jc w:val="both"/>
      </w:pPr>
      <w:r>
        <w:t xml:space="preserve">A significant </w:t>
      </w:r>
      <w:r w:rsidR="005366A6">
        <w:t xml:space="preserve">means </w:t>
      </w:r>
      <w:r w:rsidR="00687FE3">
        <w:t>of</w:t>
      </w:r>
      <w:r w:rsidR="005366A6">
        <w:t xml:space="preserve"> defining similarity for read-across is </w:t>
      </w:r>
      <w:r w:rsidR="00687FE3">
        <w:t>through</w:t>
      </w:r>
      <w:r w:rsidR="005366A6">
        <w:t xml:space="preserve"> reference to the </w:t>
      </w:r>
      <w:proofErr w:type="spellStart"/>
      <w:r w:rsidR="005366A6">
        <w:t>toxicodynamics</w:t>
      </w:r>
      <w:proofErr w:type="spellEnd"/>
      <w:r w:rsidR="00B57130">
        <w:t xml:space="preserve">. Indeed, this is the fundamental premise of biological-read across (and its application for UVCBs and mixtures) </w:t>
      </w:r>
      <w:r w:rsidR="001D35BC">
        <w:t xml:space="preserve">- </w:t>
      </w:r>
      <w:r w:rsidR="00B57130">
        <w:t xml:space="preserve">namely that source and target substances can be demonstrably related in terms of a common mechanism or mode of action. Since </w:t>
      </w:r>
      <w:r w:rsidR="00806056">
        <w:t>many</w:t>
      </w:r>
      <w:r w:rsidR="00B57130">
        <w:t xml:space="preserve"> NAMs data are related to the molecular initiating event (MIE) of the adverse </w:t>
      </w:r>
      <w:r w:rsidR="00B57130" w:rsidRPr="00E10485">
        <w:t>outcome pathway (AOP)</w:t>
      </w:r>
      <w:r w:rsidR="00B57130">
        <w:t>, this will become a critical aspect of determining similarity</w:t>
      </w:r>
      <w:r w:rsidR="00806056">
        <w:t xml:space="preserve"> </w:t>
      </w:r>
      <w:r w:rsidR="00F73B04">
        <w:t>[5</w:t>
      </w:r>
      <w:r w:rsidR="00911935">
        <w:t>5</w:t>
      </w:r>
      <w:r w:rsidR="00F73B04">
        <w:t>]</w:t>
      </w:r>
      <w:r w:rsidR="00B57130" w:rsidRPr="00E10485">
        <w:t xml:space="preserve">. </w:t>
      </w:r>
      <w:r w:rsidR="00285EEA">
        <w:t xml:space="preserve">In order </w:t>
      </w:r>
      <w:r w:rsidR="00B57130">
        <w:t xml:space="preserve">to </w:t>
      </w:r>
      <w:r w:rsidR="00285EEA">
        <w:t xml:space="preserve">form the relationship between </w:t>
      </w:r>
      <w:r w:rsidR="002436E1">
        <w:t xml:space="preserve">MIEs </w:t>
      </w:r>
      <w:r w:rsidR="00285EEA">
        <w:t xml:space="preserve">and </w:t>
      </w:r>
      <w:r w:rsidR="00B57130">
        <w:t>chemical s</w:t>
      </w:r>
      <w:r w:rsidR="00EE7BA2">
        <w:t>tructure and properties</w:t>
      </w:r>
      <w:r w:rsidR="00B57130">
        <w:t xml:space="preserve">, </w:t>
      </w:r>
      <w:r w:rsidR="0093561E" w:rsidRPr="00E10485">
        <w:t xml:space="preserve">Cronin and </w:t>
      </w:r>
      <w:proofErr w:type="spellStart"/>
      <w:r w:rsidR="0093561E" w:rsidRPr="00E10485">
        <w:t>Richarz</w:t>
      </w:r>
      <w:proofErr w:type="spellEnd"/>
      <w:r w:rsidR="0093561E" w:rsidRPr="00E10485">
        <w:t xml:space="preserve"> </w:t>
      </w:r>
      <w:r w:rsidR="00B76D9C">
        <w:t>[</w:t>
      </w:r>
      <w:r w:rsidR="00911935">
        <w:t>18</w:t>
      </w:r>
      <w:r w:rsidR="00B76D9C">
        <w:t>[</w:t>
      </w:r>
      <w:r w:rsidR="0093561E" w:rsidRPr="00E10485">
        <w:t xml:space="preserve"> categorised MIEs </w:t>
      </w:r>
      <w:r w:rsidR="002179C3" w:rsidRPr="00E10485">
        <w:t xml:space="preserve">in terms </w:t>
      </w:r>
      <w:r w:rsidR="00285EEA">
        <w:t>of relevant</w:t>
      </w:r>
      <w:r w:rsidR="00123101">
        <w:t xml:space="preserve"> </w:t>
      </w:r>
      <w:r w:rsidR="000C5DC8">
        <w:t>molecular features that</w:t>
      </w:r>
      <w:r w:rsidR="00123101">
        <w:t xml:space="preserve"> </w:t>
      </w:r>
      <w:r w:rsidR="000C5DC8">
        <w:t xml:space="preserve">could be </w:t>
      </w:r>
      <w:r w:rsidR="00123101">
        <w:t>defin</w:t>
      </w:r>
      <w:r w:rsidR="000C5DC8">
        <w:t>ed</w:t>
      </w:r>
      <w:r w:rsidR="00123101">
        <w:t>.</w:t>
      </w:r>
      <w:r w:rsidR="002179C3">
        <w:t xml:space="preserve"> </w:t>
      </w:r>
      <w:r w:rsidR="00F36582">
        <w:t xml:space="preserve">Thus, </w:t>
      </w:r>
      <w:r w:rsidR="000C5DC8">
        <w:t xml:space="preserve">MIE-derived </w:t>
      </w:r>
      <w:r w:rsidR="00F36582">
        <w:t xml:space="preserve">structural similarity could be based around </w:t>
      </w:r>
      <w:r w:rsidR="007E6FE5">
        <w:t xml:space="preserve">fragments related to reactivity for genotoxicity, sensitisation, </w:t>
      </w:r>
      <w:r w:rsidR="005435E4">
        <w:t xml:space="preserve">corrosion etc., but may </w:t>
      </w:r>
      <w:r w:rsidR="00687FE3">
        <w:t xml:space="preserve">further </w:t>
      </w:r>
      <w:r w:rsidR="005435E4">
        <w:t xml:space="preserve">relate to </w:t>
      </w:r>
      <w:proofErr w:type="spellStart"/>
      <w:r w:rsidR="005435E4">
        <w:t>toxicophores</w:t>
      </w:r>
      <w:proofErr w:type="spellEnd"/>
      <w:r w:rsidR="005435E4">
        <w:t xml:space="preserve"> if the activity is as a result of receptor mediated effects. </w:t>
      </w:r>
      <w:r w:rsidR="00C4241D">
        <w:t xml:space="preserve">If the mechanism, or MIE, is unknown, then a structural analogue approach will be preferred. </w:t>
      </w:r>
      <w:r w:rsidR="00B57130">
        <w:t xml:space="preserve">For biological read-across, activation of, or association with, an MIE will be on the basis of appropriate experimental data. Naturally, confirmation by both chemical and biological data will increase confidence. </w:t>
      </w:r>
    </w:p>
    <w:p w14:paraId="275B6F7C" w14:textId="672B7D32" w:rsidR="002C77D9" w:rsidRDefault="007C7664" w:rsidP="005B7121">
      <w:pPr>
        <w:spacing w:after="120" w:line="480" w:lineRule="auto"/>
        <w:jc w:val="both"/>
      </w:pPr>
      <w:proofErr w:type="spellStart"/>
      <w:r>
        <w:t>Toxicodynamics</w:t>
      </w:r>
      <w:proofErr w:type="spellEnd"/>
      <w:r>
        <w:t xml:space="preserve">, specifically mechanisms of action, are </w:t>
      </w:r>
      <w:r w:rsidR="004E1244">
        <w:t>essential to determin</w:t>
      </w:r>
      <w:r w:rsidR="00687FE3">
        <w:t>ing</w:t>
      </w:r>
      <w:r w:rsidR="004E1244">
        <w:t xml:space="preserve"> if a specific toxicity is being read across. The challenging case of “no or low” toxicity obviously removes this requirement, and</w:t>
      </w:r>
      <w:r w:rsidR="00687FE3">
        <w:t xml:space="preserve"> accordingly </w:t>
      </w:r>
      <w:r w:rsidR="004E1244">
        <w:t>increase</w:t>
      </w:r>
      <w:r w:rsidR="00687FE3">
        <w:t>s</w:t>
      </w:r>
      <w:r w:rsidR="004E1244">
        <w:t xml:space="preserve"> complexity </w:t>
      </w:r>
      <w:r w:rsidR="00AC6B7E">
        <w:t xml:space="preserve">by ensuring no specific mechanisms may be apparent for the </w:t>
      </w:r>
      <w:r w:rsidR="007B2DD9">
        <w:t>target molecule</w:t>
      </w:r>
      <w:r w:rsidR="007156E2">
        <w:t xml:space="preserve"> </w:t>
      </w:r>
      <w:r w:rsidR="00B76D9C">
        <w:t>[</w:t>
      </w:r>
      <w:r w:rsidR="00911935">
        <w:t>56</w:t>
      </w:r>
      <w:r w:rsidR="00B76D9C">
        <w:t>]</w:t>
      </w:r>
      <w:r w:rsidR="007B2DD9">
        <w:t>. Proving a mechanism of action definitively is</w:t>
      </w:r>
      <w:r w:rsidR="007156E2">
        <w:t xml:space="preserve"> a </w:t>
      </w:r>
      <w:r w:rsidR="00F8081B">
        <w:t>lengthy and complex</w:t>
      </w:r>
      <w:r w:rsidR="007156E2">
        <w:t xml:space="preserve"> process which is likely to require experimental evidence, for instance </w:t>
      </w:r>
      <w:r w:rsidR="00687FE3">
        <w:t>-</w:t>
      </w:r>
      <w:r w:rsidR="00E329FD">
        <w:t xml:space="preserve">omics analyses </w:t>
      </w:r>
      <w:r w:rsidR="00911935">
        <w:t>[41</w:t>
      </w:r>
      <w:r w:rsidR="00B76D9C">
        <w:t>]</w:t>
      </w:r>
      <w:r w:rsidR="002E59F0">
        <w:t xml:space="preserve"> or </w:t>
      </w:r>
      <w:r w:rsidR="002E59F0" w:rsidRPr="00826806">
        <w:rPr>
          <w:i/>
          <w:iCs/>
        </w:rPr>
        <w:t>in vitro</w:t>
      </w:r>
      <w:r w:rsidR="002E59F0">
        <w:t xml:space="preserve"> data </w:t>
      </w:r>
      <w:r w:rsidR="00B76D9C">
        <w:t>[</w:t>
      </w:r>
      <w:r w:rsidR="00911935">
        <w:t>57</w:t>
      </w:r>
      <w:r w:rsidR="00B76D9C">
        <w:t xml:space="preserve">, </w:t>
      </w:r>
      <w:r w:rsidR="00911935">
        <w:t>58</w:t>
      </w:r>
      <w:r w:rsidR="00B76D9C">
        <w:t>]</w:t>
      </w:r>
      <w:r w:rsidR="002E59F0">
        <w:t xml:space="preserve">. </w:t>
      </w:r>
      <w:r w:rsidR="002E59F0" w:rsidRPr="00767040">
        <w:rPr>
          <w:i/>
          <w:iCs/>
        </w:rPr>
        <w:t>In silico</w:t>
      </w:r>
      <w:r w:rsidR="002E59F0">
        <w:t xml:space="preserve"> profiling will go some way to providing a weight of evidence, </w:t>
      </w:r>
      <w:r w:rsidR="00BB5AD3">
        <w:t>and is rapid, practical and potentially cost-effective</w:t>
      </w:r>
      <w:r w:rsidR="00687FE3">
        <w:t>. It</w:t>
      </w:r>
      <w:r w:rsidR="002E59F0">
        <w:t xml:space="preserve"> </w:t>
      </w:r>
      <w:r w:rsidR="002C77D9">
        <w:t>will</w:t>
      </w:r>
      <w:r w:rsidR="00687FE3">
        <w:t>, however,</w:t>
      </w:r>
      <w:r w:rsidR="002C77D9">
        <w:t xml:space="preserve"> seldom provide as reliable a result as experimental determination. </w:t>
      </w:r>
    </w:p>
    <w:p w14:paraId="52AC25C4" w14:textId="3F5A55DE" w:rsidR="00ED4C9B" w:rsidRDefault="00BC5155" w:rsidP="005B7121">
      <w:pPr>
        <w:spacing w:after="120" w:line="480" w:lineRule="auto"/>
        <w:jc w:val="both"/>
      </w:pPr>
      <w:r>
        <w:t xml:space="preserve">At this point it must be recognised that </w:t>
      </w:r>
      <w:r w:rsidR="000B50CA">
        <w:t xml:space="preserve">it may not be possible to assign a particular mode or mechanism of action to a compound. </w:t>
      </w:r>
      <w:r w:rsidR="007A78B5">
        <w:t xml:space="preserve">Examples of this </w:t>
      </w:r>
      <w:r w:rsidR="00A57C48">
        <w:t xml:space="preserve">occur </w:t>
      </w:r>
      <w:r w:rsidR="007A78B5">
        <w:t xml:space="preserve">when the </w:t>
      </w:r>
      <w:r w:rsidR="000B50CA">
        <w:t xml:space="preserve">mode </w:t>
      </w:r>
      <w:r w:rsidR="007A78B5">
        <w:t xml:space="preserve">of action </w:t>
      </w:r>
      <w:r w:rsidR="000B50CA">
        <w:t xml:space="preserve">may be unknown, or </w:t>
      </w:r>
      <w:proofErr w:type="spellStart"/>
      <w:r w:rsidR="007A78B5">
        <w:t>uncharacteri</w:t>
      </w:r>
      <w:r w:rsidR="00A57C48">
        <w:t>s</w:t>
      </w:r>
      <w:r w:rsidR="007A78B5">
        <w:t>able</w:t>
      </w:r>
      <w:proofErr w:type="spellEnd"/>
      <w:r w:rsidR="007A78B5">
        <w:t xml:space="preserve">. In addition, there will be many chemicals </w:t>
      </w:r>
      <w:r w:rsidR="00B479D0">
        <w:t xml:space="preserve">which are classified as “no or low” toxicity with regard </w:t>
      </w:r>
      <w:r w:rsidR="006B43DB">
        <w:t xml:space="preserve">to </w:t>
      </w:r>
      <w:r w:rsidR="00B479D0">
        <w:t xml:space="preserve">chronic effects, e.g. </w:t>
      </w:r>
      <w:r w:rsidR="00F57721">
        <w:t>a high NO(A)EL value may be determined for the source molecule(s)</w:t>
      </w:r>
      <w:r w:rsidR="00BA00BE">
        <w:t xml:space="preserve"> </w:t>
      </w:r>
      <w:r w:rsidR="00B76D9C">
        <w:t>[</w:t>
      </w:r>
      <w:r w:rsidR="00911935">
        <w:t>56</w:t>
      </w:r>
      <w:r w:rsidR="00B76D9C">
        <w:t>]</w:t>
      </w:r>
      <w:r w:rsidR="00BA00BE">
        <w:t xml:space="preserve">. Since it is not strictly possible to confirm the absence of specific </w:t>
      </w:r>
      <w:r w:rsidR="00955C39">
        <w:t xml:space="preserve">modes or mechanisms, a more realistic approach would be to gather information and lines of evidence that confirm, through an overall </w:t>
      </w:r>
      <w:proofErr w:type="spellStart"/>
      <w:r w:rsidR="00955C39">
        <w:t>WoE</w:t>
      </w:r>
      <w:proofErr w:type="spellEnd"/>
      <w:r w:rsidR="00955C39">
        <w:t xml:space="preserve">, that there are no specific toxicities i.e. no differences in </w:t>
      </w:r>
      <w:r w:rsidR="00D35D3E">
        <w:t xml:space="preserve">NAMs associated with the target and source molecule. </w:t>
      </w:r>
    </w:p>
    <w:p w14:paraId="5CA253A5" w14:textId="33A442B6" w:rsidR="00ED4C9B" w:rsidRPr="00A04340" w:rsidRDefault="0059647C" w:rsidP="005B7121">
      <w:pPr>
        <w:spacing w:after="120" w:line="480" w:lineRule="auto"/>
        <w:jc w:val="both"/>
      </w:pPr>
      <w:r>
        <w:t>The triazoles represent a data</w:t>
      </w:r>
      <w:r w:rsidR="00A57C48">
        <w:t>-</w:t>
      </w:r>
      <w:r>
        <w:t xml:space="preserve">rich class of compounds for which a specific mode of toxicity is identifiable. Thus, the </w:t>
      </w:r>
      <w:proofErr w:type="spellStart"/>
      <w:r>
        <w:t>toxicodynamics</w:t>
      </w:r>
      <w:proofErr w:type="spellEnd"/>
      <w:r>
        <w:t xml:space="preserve"> domain </w:t>
      </w:r>
      <w:r w:rsidR="004C7E09">
        <w:t xml:space="preserve">is </w:t>
      </w:r>
      <w:r w:rsidR="00CC167F">
        <w:t>founded on</w:t>
      </w:r>
      <w:r w:rsidR="00A57C48">
        <w:t xml:space="preserve"> a</w:t>
      </w:r>
      <w:r w:rsidR="00CC167F">
        <w:t xml:space="preserve"> </w:t>
      </w:r>
      <w:r w:rsidR="006B43DB">
        <w:t>nuclear receptor</w:t>
      </w:r>
      <w:r w:rsidR="00A57C48">
        <w:t>-centred</w:t>
      </w:r>
      <w:r w:rsidR="006B43DB">
        <w:t xml:space="preserve"> </w:t>
      </w:r>
      <w:r w:rsidR="00CC167F">
        <w:t>mechanism of action</w:t>
      </w:r>
      <w:r w:rsidR="00A57C48">
        <w:t>,</w:t>
      </w:r>
      <w:r w:rsidR="006B43DB">
        <w:t xml:space="preserve"> for which</w:t>
      </w:r>
      <w:r w:rsidR="00E5584A">
        <w:t xml:space="preserve"> </w:t>
      </w:r>
      <w:r w:rsidR="006B43DB">
        <w:t>e</w:t>
      </w:r>
      <w:r w:rsidR="00CC167F">
        <w:t>vidence is given by a variety of NAM data</w:t>
      </w:r>
      <w:r w:rsidR="00F1047D">
        <w:t xml:space="preserve"> incorporating</w:t>
      </w:r>
      <w:r w:rsidR="00BF0706">
        <w:t xml:space="preserve"> </w:t>
      </w:r>
      <w:r w:rsidR="00BF0706">
        <w:rPr>
          <w:i/>
          <w:iCs/>
        </w:rPr>
        <w:t xml:space="preserve">in silico </w:t>
      </w:r>
      <w:r w:rsidR="00BF0706">
        <w:t xml:space="preserve">screening and </w:t>
      </w:r>
      <w:r w:rsidR="00BF0706">
        <w:rPr>
          <w:i/>
          <w:iCs/>
        </w:rPr>
        <w:t xml:space="preserve">in vitro </w:t>
      </w:r>
      <w:r w:rsidR="00BF0706">
        <w:t>assays</w:t>
      </w:r>
      <w:r w:rsidR="007B7A91">
        <w:t xml:space="preserve">. </w:t>
      </w:r>
      <w:r w:rsidR="00A04340">
        <w:t xml:space="preserve">These, indirectly at least, provide evidence for the toxicodynamic domain. It must be noted that similar </w:t>
      </w:r>
      <w:r w:rsidR="00A04340">
        <w:rPr>
          <w:i/>
          <w:iCs/>
        </w:rPr>
        <w:t xml:space="preserve">in silico </w:t>
      </w:r>
      <w:r w:rsidR="00A04340">
        <w:t xml:space="preserve">and </w:t>
      </w:r>
      <w:r w:rsidR="00A04340">
        <w:rPr>
          <w:i/>
          <w:iCs/>
        </w:rPr>
        <w:t xml:space="preserve">in vitro </w:t>
      </w:r>
      <w:r w:rsidR="00A04340">
        <w:t xml:space="preserve">profiles </w:t>
      </w:r>
      <w:r w:rsidR="00F41EE7">
        <w:t xml:space="preserve">do not necessarily </w:t>
      </w:r>
      <w:r w:rsidR="0079123F">
        <w:t xml:space="preserve">provide a definitive </w:t>
      </w:r>
      <w:r w:rsidR="00F41EE7">
        <w:t>confirm</w:t>
      </w:r>
      <w:r w:rsidR="0079123F">
        <w:t>ation of similar mechanism, but</w:t>
      </w:r>
      <w:r w:rsidR="004808A3">
        <w:t>,</w:t>
      </w:r>
      <w:r w:rsidR="0079123F">
        <w:t xml:space="preserve"> when combined with structural evidence, they will provide reasonable assurance that no other mechanisms of action may be present. </w:t>
      </w:r>
    </w:p>
    <w:p w14:paraId="1FB8F53E" w14:textId="77777777" w:rsidR="0063028D" w:rsidRDefault="0063028D" w:rsidP="005B7121">
      <w:pPr>
        <w:spacing w:after="120" w:line="480" w:lineRule="auto"/>
        <w:jc w:val="both"/>
      </w:pPr>
    </w:p>
    <w:p w14:paraId="1CA4453E" w14:textId="2ADF5C42" w:rsidR="00C50EEA" w:rsidRDefault="00C50EEA" w:rsidP="005B7121">
      <w:pPr>
        <w:spacing w:after="120" w:line="480" w:lineRule="auto"/>
        <w:jc w:val="both"/>
      </w:pPr>
      <w:r w:rsidRPr="00A30D56">
        <w:rPr>
          <w:i/>
          <w:iCs/>
        </w:rPr>
        <w:t>4.</w:t>
      </w:r>
      <w:r>
        <w:rPr>
          <w:i/>
          <w:iCs/>
        </w:rPr>
        <w:t>3</w:t>
      </w:r>
      <w:r w:rsidRPr="00A30D56">
        <w:rPr>
          <w:i/>
          <w:iCs/>
        </w:rPr>
        <w:t xml:space="preserve"> </w:t>
      </w:r>
      <w:proofErr w:type="spellStart"/>
      <w:r w:rsidR="006B43DB" w:rsidRPr="00E5584A">
        <w:rPr>
          <w:i/>
        </w:rPr>
        <w:t>Toxicokinetics</w:t>
      </w:r>
      <w:proofErr w:type="spellEnd"/>
      <w:r w:rsidR="006B43DB" w:rsidRPr="00A30D56">
        <w:rPr>
          <w:i/>
          <w:iCs/>
        </w:rPr>
        <w:t xml:space="preserve"> </w:t>
      </w:r>
      <w:r w:rsidRPr="00A30D56">
        <w:rPr>
          <w:i/>
          <w:iCs/>
        </w:rPr>
        <w:t>Domain</w:t>
      </w:r>
    </w:p>
    <w:p w14:paraId="4986BCFF" w14:textId="66E8BAD4" w:rsidR="00F859AB" w:rsidRDefault="00BF4C57" w:rsidP="005B7121">
      <w:pPr>
        <w:spacing w:after="120" w:line="480" w:lineRule="auto"/>
        <w:jc w:val="both"/>
      </w:pPr>
      <w:r>
        <w:t xml:space="preserve">The third </w:t>
      </w:r>
      <w:r w:rsidR="002B26C5">
        <w:t xml:space="preserve">aspect to </w:t>
      </w:r>
      <w:r>
        <w:t>the definition of read-across domain is th</w:t>
      </w:r>
      <w:r w:rsidR="00823A9F">
        <w:t>e</w:t>
      </w:r>
      <w:r w:rsidR="00F859AB">
        <w:t xml:space="preserve"> consideration of </w:t>
      </w:r>
      <w:proofErr w:type="spellStart"/>
      <w:r w:rsidR="00F859AB">
        <w:t>toxicokinetics</w:t>
      </w:r>
      <w:proofErr w:type="spellEnd"/>
      <w:r w:rsidR="00F859AB">
        <w:t xml:space="preserve">. </w:t>
      </w:r>
      <w:r w:rsidR="008C1965">
        <w:t xml:space="preserve">Potential differences in </w:t>
      </w:r>
      <w:proofErr w:type="spellStart"/>
      <w:r w:rsidR="008C1965">
        <w:t>t</w:t>
      </w:r>
      <w:r w:rsidR="00715B3A">
        <w:t>oxicokinetics</w:t>
      </w:r>
      <w:proofErr w:type="spellEnd"/>
      <w:r w:rsidR="008C1965">
        <w:t xml:space="preserve"> should be addressed if they are likely to be significant i.e. greater systemic bioavailability</w:t>
      </w:r>
      <w:r w:rsidR="00F8081B">
        <w:t xml:space="preserve"> or concentration at the site of action, for the target </w:t>
      </w:r>
      <w:r w:rsidR="002105FA">
        <w:t>as compared to the source molecule(s)</w:t>
      </w:r>
      <w:r w:rsidR="00893A6A">
        <w:t xml:space="preserve">. It is possible that </w:t>
      </w:r>
      <w:proofErr w:type="spellStart"/>
      <w:r w:rsidR="00893A6A">
        <w:t>toxicokinetics</w:t>
      </w:r>
      <w:proofErr w:type="spellEnd"/>
      <w:r w:rsidR="00893A6A">
        <w:t xml:space="preserve"> can be ignored if they are not relevant to </w:t>
      </w:r>
      <w:r w:rsidR="006B43DB">
        <w:t xml:space="preserve">the </w:t>
      </w:r>
      <w:r w:rsidR="00893A6A">
        <w:t xml:space="preserve">endpoint being read across. For instance, </w:t>
      </w:r>
      <w:r w:rsidR="00552158" w:rsidRPr="00F859AB">
        <w:rPr>
          <w:i/>
          <w:iCs/>
        </w:rPr>
        <w:t>in vitro</w:t>
      </w:r>
      <w:r w:rsidR="00552158">
        <w:t xml:space="preserve"> endpoints such as the Ames Test, or local effects such as eye or skin corrosion may be much less susceptible to the effects of up</w:t>
      </w:r>
      <w:r w:rsidR="00C72BC4">
        <w:t>t</w:t>
      </w:r>
      <w:r w:rsidR="00552158">
        <w:t>a</w:t>
      </w:r>
      <w:r w:rsidR="00C72BC4">
        <w:t>k</w:t>
      </w:r>
      <w:r w:rsidR="00552158">
        <w:t xml:space="preserve">e and systemic absorption – although aqueous solubility may also be an issue. </w:t>
      </w:r>
      <w:r w:rsidR="00CC17D7">
        <w:t xml:space="preserve">For most, if not all, systemic effects </w:t>
      </w:r>
      <w:proofErr w:type="spellStart"/>
      <w:r w:rsidR="00CC17D7">
        <w:t>toxicokinetics</w:t>
      </w:r>
      <w:proofErr w:type="spellEnd"/>
      <w:r w:rsidR="00CC17D7">
        <w:t xml:space="preserve"> should be at least considered, if not quantified in some manner. </w:t>
      </w:r>
    </w:p>
    <w:p w14:paraId="2716DFD1" w14:textId="35CDFD49" w:rsidR="00715B3A" w:rsidRDefault="00F8081B" w:rsidP="005B7121">
      <w:pPr>
        <w:spacing w:after="120" w:line="480" w:lineRule="auto"/>
        <w:jc w:val="both"/>
      </w:pPr>
      <w:r>
        <w:t>T</w:t>
      </w:r>
      <w:r w:rsidR="00CC17D7">
        <w:t xml:space="preserve">wo important aspects </w:t>
      </w:r>
      <w:r>
        <w:t>of</w:t>
      </w:r>
      <w:r w:rsidR="00CC17D7">
        <w:t xml:space="preserve"> </w:t>
      </w:r>
      <w:proofErr w:type="spellStart"/>
      <w:r w:rsidR="00CC17D7">
        <w:t>toxicokinetics</w:t>
      </w:r>
      <w:proofErr w:type="spellEnd"/>
      <w:r w:rsidR="00CC17D7">
        <w:t xml:space="preserve"> </w:t>
      </w:r>
      <w:r>
        <w:t>relate to</w:t>
      </w:r>
      <w:r w:rsidR="00CC17D7">
        <w:t xml:space="preserve"> systemic </w:t>
      </w:r>
      <w:r w:rsidR="00A227DA">
        <w:t>bioavailability</w:t>
      </w:r>
      <w:r w:rsidR="00CC17D7">
        <w:t xml:space="preserve"> </w:t>
      </w:r>
      <w:r w:rsidR="00122916">
        <w:t xml:space="preserve">and production of similar metabolites. These have been identified as significant areas of uncertainty in read-across </w:t>
      </w:r>
      <w:r w:rsidR="008F228F">
        <w:rPr>
          <w:bCs/>
        </w:rPr>
        <w:t>[2</w:t>
      </w:r>
      <w:r w:rsidR="00B76D9C">
        <w:rPr>
          <w:bCs/>
        </w:rPr>
        <w:t>]</w:t>
      </w:r>
      <w:r w:rsidR="0009743D">
        <w:t>, not least</w:t>
      </w:r>
      <w:r w:rsidR="002F25A5">
        <w:t xml:space="preserve"> due to the lack of suitable </w:t>
      </w:r>
      <w:r w:rsidR="002F25A5" w:rsidRPr="00F859AB">
        <w:rPr>
          <w:i/>
          <w:iCs/>
        </w:rPr>
        <w:t>in vivo</w:t>
      </w:r>
      <w:r w:rsidR="002F25A5">
        <w:t xml:space="preserve"> data, cost and complexity of obtaining even </w:t>
      </w:r>
      <w:r w:rsidR="002F25A5" w:rsidRPr="00C72BC4">
        <w:rPr>
          <w:i/>
          <w:iCs/>
        </w:rPr>
        <w:t>in vitro</w:t>
      </w:r>
      <w:r w:rsidR="002F25A5">
        <w:t xml:space="preserve"> data</w:t>
      </w:r>
      <w:r w:rsidR="00897000">
        <w:t xml:space="preserve"> and the paucity of reliable </w:t>
      </w:r>
      <w:r w:rsidR="00897000" w:rsidRPr="00C72BC4">
        <w:rPr>
          <w:i/>
          <w:iCs/>
        </w:rPr>
        <w:t>in silico</w:t>
      </w:r>
      <w:r w:rsidR="00897000">
        <w:t xml:space="preserve"> approaches. However, there has been a greater realisation of </w:t>
      </w:r>
      <w:r w:rsidR="00627038">
        <w:t xml:space="preserve">the need for this information and </w:t>
      </w:r>
      <w:r w:rsidR="00493B56">
        <w:t xml:space="preserve">it is more frequently being utilised. </w:t>
      </w:r>
      <w:r w:rsidR="002F3D29">
        <w:t xml:space="preserve">In assessing both systemic </w:t>
      </w:r>
      <w:r w:rsidR="00A227DA">
        <w:t>bioavailability</w:t>
      </w:r>
      <w:r w:rsidR="002F3D29">
        <w:t xml:space="preserve"> and production of significant metabolites</w:t>
      </w:r>
      <w:r w:rsidR="00A227DA">
        <w:t xml:space="preserve">, if suitable experimental data </w:t>
      </w:r>
      <w:r w:rsidR="00301360">
        <w:t xml:space="preserve">are absent or insufficient, </w:t>
      </w:r>
      <w:r w:rsidR="00301360" w:rsidRPr="00C72BC4">
        <w:rPr>
          <w:i/>
          <w:iCs/>
        </w:rPr>
        <w:t>in silico</w:t>
      </w:r>
      <w:r w:rsidR="00301360">
        <w:t xml:space="preserve"> tools may be used. </w:t>
      </w:r>
      <w:r w:rsidR="00A85FB1">
        <w:t xml:space="preserve">In this study a PBPK prediction was used in conjunction with SARs and QSARs for ADME properties. </w:t>
      </w:r>
      <w:r w:rsidR="00466677">
        <w:t xml:space="preserve">Likewise, </w:t>
      </w:r>
      <w:r w:rsidR="00466677" w:rsidRPr="00BC7EFF">
        <w:rPr>
          <w:i/>
          <w:iCs/>
        </w:rPr>
        <w:t>in silico</w:t>
      </w:r>
      <w:r w:rsidR="00466677">
        <w:t xml:space="preserve"> profilers for metabolism can be applied to predict the metabolites that may be produced. Where there is uncertainty in the predictions themselves, it is often better not to consider them</w:t>
      </w:r>
      <w:r w:rsidR="004C723B">
        <w:t xml:space="preserve"> as </w:t>
      </w:r>
      <w:r w:rsidR="00EE7CAE">
        <w:t>authoritative</w:t>
      </w:r>
      <w:r w:rsidR="007D172E">
        <w:t xml:space="preserve"> values, but rather as a means to identify significant differences in overall </w:t>
      </w:r>
      <w:proofErr w:type="spellStart"/>
      <w:r w:rsidR="007D172E">
        <w:t>toxicokinetics</w:t>
      </w:r>
      <w:proofErr w:type="spellEnd"/>
      <w:r w:rsidR="007D172E">
        <w:t xml:space="preserve"> between two, or more, molecules.</w:t>
      </w:r>
      <w:r w:rsidR="00B57130">
        <w:t xml:space="preserve"> As noted above, for read-across based on a common metabolite or degradant, this aspect of the domain (i.e. formation of identical metabolites or degradants at a similar extent and rate) is essential to enable justification of similarity </w:t>
      </w:r>
      <w:r w:rsidR="008F228F">
        <w:t>[</w:t>
      </w:r>
      <w:r w:rsidR="00911935">
        <w:t>38</w:t>
      </w:r>
      <w:r w:rsidR="008F228F">
        <w:t>]</w:t>
      </w:r>
      <w:r w:rsidR="00B57130">
        <w:t xml:space="preserve">.  </w:t>
      </w:r>
    </w:p>
    <w:p w14:paraId="76057ABB" w14:textId="57CB2802" w:rsidR="00ED4C9B" w:rsidRDefault="00D1629A" w:rsidP="005B7121">
      <w:pPr>
        <w:spacing w:after="120" w:line="480" w:lineRule="auto"/>
        <w:jc w:val="both"/>
      </w:pPr>
      <w:r>
        <w:t xml:space="preserve">Many types of </w:t>
      </w:r>
      <w:r w:rsidR="009F00DF">
        <w:t xml:space="preserve">toxicokinetic </w:t>
      </w:r>
      <w:r>
        <w:t xml:space="preserve">information were available for the </w:t>
      </w:r>
      <w:r w:rsidR="00184573">
        <w:t xml:space="preserve">triazoles. </w:t>
      </w:r>
      <w:r w:rsidR="00804828">
        <w:t>A</w:t>
      </w:r>
      <w:r w:rsidR="00184573">
        <w:t>ll compounds were show</w:t>
      </w:r>
      <w:r w:rsidR="00804828">
        <w:t>n</w:t>
      </w:r>
      <w:r w:rsidR="00184573">
        <w:t xml:space="preserve"> to have similar toxicokinetic properties. It is appreciated that reliable toxicokinetic data are likely to be sparse </w:t>
      </w:r>
      <w:r w:rsidR="006B465A">
        <w:t xml:space="preserve">and </w:t>
      </w:r>
      <w:r w:rsidR="00F1047D">
        <w:t xml:space="preserve">that </w:t>
      </w:r>
      <w:r w:rsidR="006B465A">
        <w:t xml:space="preserve">much reliance will be placed on NAMs. </w:t>
      </w:r>
      <w:r w:rsidR="00740EBB" w:rsidRPr="00740EBB">
        <w:rPr>
          <w:i/>
          <w:iCs/>
        </w:rPr>
        <w:t>In silico</w:t>
      </w:r>
      <w:r w:rsidR="00740EBB">
        <w:t xml:space="preserve"> and </w:t>
      </w:r>
      <w:r w:rsidR="00740EBB" w:rsidRPr="00740EBB">
        <w:rPr>
          <w:i/>
          <w:iCs/>
        </w:rPr>
        <w:t>in vitro</w:t>
      </w:r>
      <w:r w:rsidR="00740EBB">
        <w:t xml:space="preserve"> approaches will certainly support the concept of toxicokinetic similarity</w:t>
      </w:r>
      <w:r w:rsidR="007C3B4D">
        <w:t>, as well as highlighting any potential differences in toxicokinetic behaviour. For the triazoles considered in this study</w:t>
      </w:r>
      <w:r w:rsidR="004D506F">
        <w:t>, it was also possible to run a generic PBPK model</w:t>
      </w:r>
      <w:r w:rsidR="00605ADC">
        <w:t>, in this case a freely available on-line model</w:t>
      </w:r>
      <w:r w:rsidR="00454F89">
        <w:t xml:space="preserve"> (</w:t>
      </w:r>
      <w:r w:rsidR="00454F89" w:rsidRPr="00454F89">
        <w:t>https://ice.ntp.niehs.nih.gov/Tools</w:t>
      </w:r>
      <w:r w:rsidR="00454F89">
        <w:t>)</w:t>
      </w:r>
      <w:r w:rsidR="00605ADC">
        <w:t>. Data from such models should also be used to identify dissimilarities as well as similarities</w:t>
      </w:r>
      <w:r w:rsidR="0040403C">
        <w:t xml:space="preserve">, and the potentially high level of uncertainty should be borne in mind. For the triazole category, all are seen to accumulate </w:t>
      </w:r>
      <w:r w:rsidR="005C6362">
        <w:t xml:space="preserve">predominantly in the liver (although this is likely for any compound) and at </w:t>
      </w:r>
      <w:r w:rsidR="000279CD">
        <w:t>similar time points</w:t>
      </w:r>
      <w:r w:rsidR="00242ED1">
        <w:t>.</w:t>
      </w:r>
      <w:r w:rsidR="000279CD">
        <w:t xml:space="preserve"> </w:t>
      </w:r>
      <w:r w:rsidR="00242ED1">
        <w:t>T</w:t>
      </w:r>
      <w:r w:rsidR="000279CD">
        <w:t xml:space="preserve">his would be consistent with the promotion of liver toxicity above adverse effects to other organs. </w:t>
      </w:r>
    </w:p>
    <w:p w14:paraId="47CE9631" w14:textId="5BD7CD59" w:rsidR="00300F44" w:rsidRDefault="00300F44" w:rsidP="005B7121">
      <w:pPr>
        <w:spacing w:after="120" w:line="480" w:lineRule="auto"/>
        <w:jc w:val="both"/>
      </w:pPr>
      <w:r>
        <w:t xml:space="preserve">The measurement or prediction of metabolites </w:t>
      </w:r>
      <w:r w:rsidR="00E95AFB">
        <w:t>is one of the most difficult aspects of defining the domain for read-across. At the current time</w:t>
      </w:r>
      <w:r w:rsidR="00966FBC">
        <w:t xml:space="preserve">, unless detailed experimental data are available, this is likely to </w:t>
      </w:r>
      <w:r w:rsidR="00242ED1">
        <w:t xml:space="preserve">involve </w:t>
      </w:r>
      <w:r w:rsidR="00966FBC">
        <w:t>check</w:t>
      </w:r>
      <w:r w:rsidR="00242ED1">
        <w:t>ing</w:t>
      </w:r>
      <w:r w:rsidR="00966FBC">
        <w:t xml:space="preserve"> that the major metabolites of the target and source molecules are similar (especially if one is known to be responsible for the toxic effect) and </w:t>
      </w:r>
      <w:r w:rsidR="00B619E5">
        <w:t>that there are no potential additional metabolites that may cause concern for toxicity. For the triazoles, the analysis demonstrates that there is likely to be a consistent set of metabolites</w:t>
      </w:r>
      <w:r w:rsidR="00825021">
        <w:t xml:space="preserve">, which thus supports the overall hypothesis of similarity. </w:t>
      </w:r>
    </w:p>
    <w:p w14:paraId="1E3D83F1" w14:textId="29FE3B32" w:rsidR="00FC5CEF" w:rsidRDefault="00FC5CEF" w:rsidP="005B7121">
      <w:pPr>
        <w:spacing w:after="120" w:line="480" w:lineRule="auto"/>
        <w:jc w:val="both"/>
      </w:pPr>
    </w:p>
    <w:p w14:paraId="693D8226" w14:textId="7A706D19" w:rsidR="00655AF8" w:rsidRPr="001C6685" w:rsidRDefault="00655AF8" w:rsidP="005B7121">
      <w:pPr>
        <w:spacing w:after="120" w:line="480" w:lineRule="auto"/>
        <w:jc w:val="both"/>
        <w:rPr>
          <w:i/>
          <w:iCs/>
        </w:rPr>
      </w:pPr>
      <w:r w:rsidRPr="001C6685">
        <w:rPr>
          <w:i/>
          <w:iCs/>
        </w:rPr>
        <w:t>4.4 Boundar</w:t>
      </w:r>
      <w:r w:rsidR="009A0A7F" w:rsidRPr="001C6685">
        <w:rPr>
          <w:i/>
          <w:iCs/>
        </w:rPr>
        <w:t>i</w:t>
      </w:r>
      <w:r w:rsidRPr="001C6685">
        <w:rPr>
          <w:i/>
          <w:iCs/>
        </w:rPr>
        <w:t>es</w:t>
      </w:r>
      <w:r w:rsidR="009A0A7F" w:rsidRPr="001C6685">
        <w:rPr>
          <w:i/>
          <w:iCs/>
        </w:rPr>
        <w:t xml:space="preserve"> of the </w:t>
      </w:r>
      <w:r w:rsidR="001C6685" w:rsidRPr="001C6685">
        <w:rPr>
          <w:i/>
          <w:iCs/>
        </w:rPr>
        <w:t xml:space="preserve">read-across </w:t>
      </w:r>
      <w:r w:rsidR="009A0A7F" w:rsidRPr="001C6685">
        <w:rPr>
          <w:i/>
          <w:iCs/>
        </w:rPr>
        <w:t>domain</w:t>
      </w:r>
      <w:r w:rsidR="001C6685" w:rsidRPr="001C6685">
        <w:rPr>
          <w:i/>
          <w:iCs/>
        </w:rPr>
        <w:t>s</w:t>
      </w:r>
    </w:p>
    <w:p w14:paraId="2231752F" w14:textId="1AA48201" w:rsidR="002B7F51" w:rsidRDefault="00EA6C73" w:rsidP="005B7121">
      <w:pPr>
        <w:spacing w:after="120" w:line="480" w:lineRule="auto"/>
        <w:jc w:val="both"/>
      </w:pPr>
      <w:r>
        <w:t xml:space="preserve">If required, the most difficult aspect of </w:t>
      </w:r>
      <w:r w:rsidR="006B43DB" w:rsidRPr="00C72BC4">
        <w:rPr>
          <w:color w:val="000000" w:themeColor="text1"/>
        </w:rPr>
        <w:t xml:space="preserve">employing </w:t>
      </w:r>
      <w:r w:rsidRPr="00C72BC4">
        <w:rPr>
          <w:color w:val="000000" w:themeColor="text1"/>
        </w:rPr>
        <w:t>the applicability domain approach for read-across will be the definition of bound</w:t>
      </w:r>
      <w:r w:rsidR="009E2BF8" w:rsidRPr="00C72BC4">
        <w:rPr>
          <w:color w:val="000000" w:themeColor="text1"/>
        </w:rPr>
        <w:t>s, or upper and lower limits</w:t>
      </w:r>
      <w:r w:rsidR="00242ED1" w:rsidRPr="00C72BC4">
        <w:rPr>
          <w:color w:val="000000" w:themeColor="text1"/>
        </w:rPr>
        <w:t>, both</w:t>
      </w:r>
      <w:r w:rsidR="009E2BF8" w:rsidRPr="00C72BC4">
        <w:rPr>
          <w:color w:val="000000" w:themeColor="text1"/>
        </w:rPr>
        <w:t xml:space="preserve"> for analogues </w:t>
      </w:r>
      <w:r w:rsidR="00242ED1" w:rsidRPr="00C72BC4">
        <w:rPr>
          <w:color w:val="000000" w:themeColor="text1"/>
        </w:rPr>
        <w:t xml:space="preserve">and </w:t>
      </w:r>
      <w:r w:rsidR="009E2BF8" w:rsidRPr="00C72BC4">
        <w:rPr>
          <w:color w:val="000000" w:themeColor="text1"/>
        </w:rPr>
        <w:t xml:space="preserve">for </w:t>
      </w:r>
      <w:r w:rsidR="006F3052" w:rsidRPr="00C72BC4">
        <w:rPr>
          <w:color w:val="000000" w:themeColor="text1"/>
        </w:rPr>
        <w:t xml:space="preserve">categories. Taking the one-to-one analogue approach, potential cut-offs for similarity could be utilised </w:t>
      </w:r>
      <w:r w:rsidR="00B56A90" w:rsidRPr="00C72BC4">
        <w:rPr>
          <w:color w:val="000000" w:themeColor="text1"/>
        </w:rPr>
        <w:t xml:space="preserve">for all numerical properties, as proposed in Table </w:t>
      </w:r>
      <w:r w:rsidR="00715FED" w:rsidRPr="00C72BC4">
        <w:rPr>
          <w:color w:val="000000" w:themeColor="text1"/>
        </w:rPr>
        <w:t>2 and implemented in Table 5</w:t>
      </w:r>
      <w:r w:rsidR="00631301" w:rsidRPr="00C72BC4">
        <w:rPr>
          <w:color w:val="000000" w:themeColor="text1"/>
        </w:rPr>
        <w:t xml:space="preserve"> and, to a lesser extent, for the categories in Table 6</w:t>
      </w:r>
      <w:r w:rsidR="00764EA4" w:rsidRPr="00C72BC4">
        <w:rPr>
          <w:color w:val="000000" w:themeColor="text1"/>
        </w:rPr>
        <w:t xml:space="preserve">. The logic behind these </w:t>
      </w:r>
      <w:r w:rsidR="00764EA4">
        <w:t>boundaries will need to be explored</w:t>
      </w:r>
      <w:r w:rsidR="00C46B08">
        <w:rPr>
          <w:color w:val="7F7F7F" w:themeColor="text1" w:themeTint="80"/>
        </w:rPr>
        <w:t>,</w:t>
      </w:r>
      <w:r w:rsidR="00764EA4">
        <w:t xml:space="preserve"> bring</w:t>
      </w:r>
      <w:r w:rsidR="00C46B08">
        <w:t>ing</w:t>
      </w:r>
      <w:r w:rsidR="00764EA4">
        <w:t xml:space="preserve"> into question</w:t>
      </w:r>
      <w:r w:rsidR="00C46B08">
        <w:t>:</w:t>
      </w:r>
      <w:r w:rsidR="00764EA4">
        <w:t xml:space="preserve"> what is an acceptable difference for analogues</w:t>
      </w:r>
      <w:r w:rsidR="00787DFB">
        <w:t>?</w:t>
      </w:r>
      <w:r w:rsidR="00E007F2">
        <w:t xml:space="preserve"> It should also be noted that many </w:t>
      </w:r>
      <w:r w:rsidR="00BA24FD">
        <w:t>descriptors will be correlated and there should be consistency between the boundaries, for instance</w:t>
      </w:r>
      <w:r w:rsidR="00FD13D2">
        <w:t xml:space="preserve"> since log P and aqueous solubility are often strongly related, there is no need to have a wide </w:t>
      </w:r>
      <w:r w:rsidR="007F2384">
        <w:t xml:space="preserve">boundary for one and a narrow boundary for the other. The dependency of </w:t>
      </w:r>
      <w:proofErr w:type="spellStart"/>
      <w:r w:rsidR="007F2384">
        <w:t>toxicokinetics</w:t>
      </w:r>
      <w:proofErr w:type="spellEnd"/>
      <w:r w:rsidR="007F2384">
        <w:t xml:space="preserve"> properties on log P is likely to be of particular significance here. </w:t>
      </w:r>
    </w:p>
    <w:p w14:paraId="47964010" w14:textId="187D62FE" w:rsidR="00A95967" w:rsidRDefault="007F2384" w:rsidP="005B7121">
      <w:pPr>
        <w:spacing w:after="120" w:line="480" w:lineRule="auto"/>
        <w:jc w:val="both"/>
      </w:pPr>
      <w:r>
        <w:t xml:space="preserve">One means </w:t>
      </w:r>
      <w:r w:rsidR="00454F89">
        <w:t xml:space="preserve">by which </w:t>
      </w:r>
      <w:r>
        <w:t xml:space="preserve">to determine </w:t>
      </w:r>
      <w:r w:rsidR="00017DE9">
        <w:t>acceptable boundaries may be to consider what makes a one-to-one analogue appropriate. If th</w:t>
      </w:r>
      <w:r w:rsidR="000B7B38">
        <w:t xml:space="preserve">is is considered in terms of the </w:t>
      </w:r>
      <w:r w:rsidR="00017DE9">
        <w:t xml:space="preserve">addition </w:t>
      </w:r>
      <w:r w:rsidR="000B7B38">
        <w:t xml:space="preserve">of a certain number of atoms or functional groups, then values could be calculated e.g. MW and log P values for the addition or removal of one, two or more carbon atoms, hydroxy groups etc. </w:t>
      </w:r>
      <w:r w:rsidR="009779CB">
        <w:t xml:space="preserve">For instance, in Table 2 it is stated that analogues should be within </w:t>
      </w:r>
      <w:r w:rsidR="00454F89">
        <w:t>“X”</w:t>
      </w:r>
      <w:r w:rsidR="009779CB">
        <w:t xml:space="preserve"> Da </w:t>
      </w:r>
      <w:r w:rsidR="00315BEE">
        <w:t xml:space="preserve">(MW) </w:t>
      </w:r>
      <w:r w:rsidR="009779CB">
        <w:t xml:space="preserve">or 1 log unit </w:t>
      </w:r>
      <w:r w:rsidR="00315BEE">
        <w:t>(</w:t>
      </w:r>
      <w:r w:rsidR="009779CB">
        <w:t>log P</w:t>
      </w:r>
      <w:r w:rsidR="00315BEE">
        <w:t>)</w:t>
      </w:r>
      <w:r w:rsidR="009779CB">
        <w:t xml:space="preserve">. These are arbitrary boundaries created for convenience, in reality the decision must be whether there will be significant difference in the </w:t>
      </w:r>
      <w:proofErr w:type="spellStart"/>
      <w:r w:rsidR="009779CB">
        <w:t>toxicodynamics</w:t>
      </w:r>
      <w:proofErr w:type="spellEnd"/>
      <w:r w:rsidR="009779CB">
        <w:t xml:space="preserve"> and </w:t>
      </w:r>
      <w:proofErr w:type="spellStart"/>
      <w:r w:rsidR="009779CB">
        <w:t>toxicokinetics</w:t>
      </w:r>
      <w:proofErr w:type="spellEnd"/>
      <w:r w:rsidR="009779CB">
        <w:t xml:space="preserve"> of the source and target molecule. </w:t>
      </w:r>
      <w:r w:rsidR="00170E6B">
        <w:t xml:space="preserve">Identifying whether two </w:t>
      </w:r>
      <w:r w:rsidR="00315BEE">
        <w:t xml:space="preserve">substances </w:t>
      </w:r>
      <w:r w:rsidR="00170E6B">
        <w:t xml:space="preserve">are implicitly similar is difficult and would rely on quantitative measures or properties. </w:t>
      </w:r>
      <w:r w:rsidR="009779CB">
        <w:t xml:space="preserve">Boundaries of applicability domain for analogues defined by properties are likely to be most relevant for </w:t>
      </w:r>
      <w:proofErr w:type="spellStart"/>
      <w:r w:rsidR="009779CB">
        <w:t>toxicokinetics</w:t>
      </w:r>
      <w:proofErr w:type="spellEnd"/>
      <w:r w:rsidR="009779CB">
        <w:t xml:space="preserve">. For instance, a difference of 1 log unit of log P will impact absorption and distribution, and if these are lower in the target molecule then this is justifiable. If absorption and distribution are greater in the target, then 1 log unit is likely to be “reasonable” and within experimental limits. </w:t>
      </w:r>
    </w:p>
    <w:p w14:paraId="21AC10F5" w14:textId="0A9A0001" w:rsidR="009779CB" w:rsidRDefault="009779CB" w:rsidP="005B7121">
      <w:pPr>
        <w:spacing w:after="120" w:line="480" w:lineRule="auto"/>
        <w:jc w:val="both"/>
      </w:pPr>
      <w:r>
        <w:t>The key points to making the definition of applicability domain truly quantitative are firstly assessing the impact of differences in properties for a particular endpoint, secondly determining whether the impact is likely to make the target molecule more or less toxic (with lower toxicity being the preferred and precautionary option) and thirdly being able to agree what is a significant difference between two molecules. The final point could, for instance, be addressed through an understanding of the error associated with the experimental data</w:t>
      </w:r>
      <w:r w:rsidR="00170E6B">
        <w:t xml:space="preserve">. Thus, if the likely difference between molecules is within experimental error, this could be used as a criterion that there is high confidence of the compounds being within domain. At the current time, we lack an understanding of the error associated with many toxicity data, although analyses of large data sets with multiple values for the same compound may be able to give insight into this </w:t>
      </w:r>
      <w:bookmarkStart w:id="7" w:name="_Hlk92030177"/>
      <w:r w:rsidR="008F228F">
        <w:t>[</w:t>
      </w:r>
      <w:r w:rsidR="00911935">
        <w:t>59</w:t>
      </w:r>
      <w:r w:rsidR="008F228F">
        <w:t>, 6</w:t>
      </w:r>
      <w:r w:rsidR="00911935">
        <w:t>0</w:t>
      </w:r>
      <w:r w:rsidR="008F228F">
        <w:t>]</w:t>
      </w:r>
      <w:bookmarkEnd w:id="7"/>
      <w:r w:rsidR="00A60E14">
        <w:t xml:space="preserve">. </w:t>
      </w:r>
      <w:r w:rsidR="008A094C">
        <w:t xml:space="preserve">The use of an empirically derived similarity index may, at first sight, seem an ideal solution to the issue of defining domains. However, as stated above, it must be remembered that metrics such as the </w:t>
      </w:r>
      <w:proofErr w:type="spellStart"/>
      <w:r w:rsidR="008A094C">
        <w:t>Tanimoto</w:t>
      </w:r>
      <w:proofErr w:type="spellEnd"/>
      <w:r w:rsidR="008A094C">
        <w:t xml:space="preserve"> index are dependent on the quality of information on which they are based </w:t>
      </w:r>
      <w:r w:rsidR="008F228F">
        <w:t>[5</w:t>
      </w:r>
      <w:r w:rsidR="00911935">
        <w:t>4</w:t>
      </w:r>
      <w:r w:rsidR="008F228F">
        <w:t>]</w:t>
      </w:r>
      <w:r w:rsidR="008A094C">
        <w:t xml:space="preserve">. Attempts have been made to identify cut-offs for identifying similar chemicals </w:t>
      </w:r>
      <w:r w:rsidR="008F228F">
        <w:t>[6</w:t>
      </w:r>
      <w:r w:rsidR="00911935">
        <w:t>1</w:t>
      </w:r>
      <w:r w:rsidR="008F228F">
        <w:t>]</w:t>
      </w:r>
      <w:r w:rsidR="008A094C">
        <w:t xml:space="preserve">, however the reality is that they must be intelligently and flexibly applied to be successful </w:t>
      </w:r>
      <w:r w:rsidR="008F228F">
        <w:t>[6</w:t>
      </w:r>
      <w:r w:rsidR="00911935">
        <w:t>2</w:t>
      </w:r>
      <w:r w:rsidR="008F228F">
        <w:t>]</w:t>
      </w:r>
      <w:r w:rsidR="008A094C">
        <w:t>. The use of cut</w:t>
      </w:r>
      <w:r w:rsidR="00454F89">
        <w:t>-</w:t>
      </w:r>
      <w:r w:rsidR="008A094C">
        <w:t xml:space="preserve">offs based on </w:t>
      </w:r>
      <w:proofErr w:type="spellStart"/>
      <w:r w:rsidR="008A094C">
        <w:t>Tanimoto</w:t>
      </w:r>
      <w:proofErr w:type="spellEnd"/>
      <w:r w:rsidR="008A094C">
        <w:t xml:space="preserve"> indices as definitive measures of similarity, category membership or falling within an applicability domain is not recommended at this time without considerable care and expertise. </w:t>
      </w:r>
    </w:p>
    <w:p w14:paraId="49FE6AFD" w14:textId="53A06F25" w:rsidR="007F2384" w:rsidRDefault="00170E6B" w:rsidP="005B7121">
      <w:pPr>
        <w:spacing w:after="120" w:line="480" w:lineRule="auto"/>
        <w:jc w:val="both"/>
      </w:pPr>
      <w:r>
        <w:t xml:space="preserve">Given the difficulty in defining the confidence of being within applicability domains, it </w:t>
      </w:r>
      <w:r w:rsidR="007B5304">
        <w:t>is p</w:t>
      </w:r>
      <w:r>
        <w:t xml:space="preserve">robable </w:t>
      </w:r>
      <w:r w:rsidR="007B5304">
        <w:t>that flexible and context</w:t>
      </w:r>
      <w:r w:rsidR="00C46B08">
        <w:t>-</w:t>
      </w:r>
      <w:r w:rsidR="007B5304">
        <w:t>dependent boundaries may need to be decided upon, which become part of the similarity justification itself.</w:t>
      </w:r>
      <w:r w:rsidR="004A4AA0">
        <w:t xml:space="preserve"> In order to facilitate the use of s</w:t>
      </w:r>
      <w:r w:rsidR="00505ABC">
        <w:t>uch an approach, a set of boundary conditions have been defined for the one-to-one read across example</w:t>
      </w:r>
      <w:r w:rsidR="0062176C">
        <w:t xml:space="preserve"> for </w:t>
      </w:r>
      <w:r w:rsidR="007F5661">
        <w:t xml:space="preserve">tetraconazole, as shown in Table </w:t>
      </w:r>
      <w:r w:rsidR="00806651">
        <w:t>5</w:t>
      </w:r>
      <w:r w:rsidR="007F5661">
        <w:t>. It is vital to stress that these were developed for this read-across alone</w:t>
      </w:r>
      <w:r w:rsidR="000D2B3E">
        <w:t xml:space="preserve"> and were developed through a problem formulation process. In reality, such boundaries are likely to be arbitrary</w:t>
      </w:r>
      <w:r w:rsidR="004A7BDA">
        <w:t xml:space="preserve">, but they could be justifiable. There may be occasions where closely related analogues are essential, other </w:t>
      </w:r>
      <w:r w:rsidR="005912B9">
        <w:t xml:space="preserve">situations where greater flexibility may be justifiable in analogue selection. </w:t>
      </w:r>
    </w:p>
    <w:p w14:paraId="57853D57" w14:textId="6C4C378B" w:rsidR="007B5304" w:rsidRDefault="007B5304" w:rsidP="005B7121">
      <w:pPr>
        <w:spacing w:after="120" w:line="480" w:lineRule="auto"/>
        <w:jc w:val="both"/>
      </w:pPr>
      <w:r>
        <w:t xml:space="preserve">The situation for </w:t>
      </w:r>
      <w:r w:rsidR="00BE1201">
        <w:t>categor</w:t>
      </w:r>
      <w:r w:rsidR="00C46B08">
        <w:t>ies</w:t>
      </w:r>
      <w:r w:rsidR="00BE1201">
        <w:t xml:space="preserve"> becomes slightly less </w:t>
      </w:r>
      <w:r w:rsidR="00C46B08">
        <w:t>challenging</w:t>
      </w:r>
      <w:r w:rsidR="00BE1201">
        <w:t>. The category implicitly defines the range of properties and effects, and analogues should be checked as to whether they fall within these ranges.</w:t>
      </w:r>
      <w:r w:rsidR="007C151F">
        <w:t xml:space="preserve"> For the triazoles, in terms of chemical properties and descriptors</w:t>
      </w:r>
      <w:r w:rsidR="00C46B08">
        <w:t>,</w:t>
      </w:r>
      <w:r w:rsidR="007C151F">
        <w:t xml:space="preserve"> the category is quite broad</w:t>
      </w:r>
      <w:r w:rsidR="00463087">
        <w:t xml:space="preserve"> but it does demonstrate that the </w:t>
      </w:r>
      <w:r w:rsidR="00711B95">
        <w:t>target molecule is representative</w:t>
      </w:r>
      <w:r w:rsidR="007C151F">
        <w:t xml:space="preserve">. </w:t>
      </w:r>
      <w:r w:rsidR="00083BCA">
        <w:t xml:space="preserve">Indeed, given sufficient relevant quantitative information, it is possible to determine the closest analogues in “read-across relevant category space”. </w:t>
      </w:r>
    </w:p>
    <w:p w14:paraId="37791964" w14:textId="77777777" w:rsidR="00806651" w:rsidRDefault="00806651" w:rsidP="005B7121">
      <w:pPr>
        <w:spacing w:after="120" w:line="480" w:lineRule="auto"/>
        <w:jc w:val="both"/>
      </w:pPr>
    </w:p>
    <w:p w14:paraId="0E293740" w14:textId="77777777" w:rsidR="008E5D46" w:rsidRPr="008E5D46" w:rsidRDefault="008E5D46" w:rsidP="005B7121">
      <w:pPr>
        <w:spacing w:after="120" w:line="480" w:lineRule="auto"/>
        <w:jc w:val="both"/>
        <w:rPr>
          <w:i/>
          <w:iCs/>
        </w:rPr>
      </w:pPr>
      <w:r w:rsidRPr="008E5D46">
        <w:rPr>
          <w:i/>
          <w:iCs/>
        </w:rPr>
        <w:t>4.5 Overall Assessment for Triazoles</w:t>
      </w:r>
    </w:p>
    <w:p w14:paraId="452396C7" w14:textId="0C376C66" w:rsidR="00A72F9E" w:rsidRDefault="00A72F9E" w:rsidP="005B7121">
      <w:pPr>
        <w:spacing w:after="120" w:line="480" w:lineRule="auto"/>
        <w:jc w:val="both"/>
      </w:pPr>
      <w:r>
        <w:t xml:space="preserve">In order to </w:t>
      </w:r>
      <w:r w:rsidR="00F74FC2">
        <w:t>demonstrate</w:t>
      </w:r>
      <w:r w:rsidR="001A3DC5">
        <w:t xml:space="preserve"> how the approach for domain </w:t>
      </w:r>
      <w:r w:rsidR="004D4811">
        <w:t xml:space="preserve">assessment </w:t>
      </w:r>
      <w:r w:rsidR="001A3DC5">
        <w:t xml:space="preserve">could be applied, </w:t>
      </w:r>
      <w:r w:rsidR="006F1D80">
        <w:t xml:space="preserve">the information required in Table </w:t>
      </w:r>
      <w:r w:rsidR="00AE3A2D">
        <w:t>2</w:t>
      </w:r>
      <w:r w:rsidR="006F1D80">
        <w:t xml:space="preserve"> was compiled</w:t>
      </w:r>
      <w:r w:rsidR="001A3DC5">
        <w:t xml:space="preserve">. </w:t>
      </w:r>
      <w:r w:rsidR="006F1D80">
        <w:t xml:space="preserve">Read-across </w:t>
      </w:r>
      <w:r w:rsidR="001A3DC5">
        <w:t>starts with problem formulation</w:t>
      </w:r>
      <w:r w:rsidR="000D102D">
        <w:t>,</w:t>
      </w:r>
      <w:r w:rsidR="001A3DC5">
        <w:t xml:space="preserve"> which gives the </w:t>
      </w:r>
      <w:r w:rsidR="00BB5C60">
        <w:t xml:space="preserve">opportunity to state the problem to be addressed and identify which data are required. </w:t>
      </w:r>
      <w:r w:rsidR="004D4811">
        <w:t>A</w:t>
      </w:r>
      <w:r w:rsidR="00BB5C60">
        <w:t xml:space="preserve">t this point boundaries could be set for quantifiable </w:t>
      </w:r>
      <w:r w:rsidR="003042AC">
        <w:t xml:space="preserve">analogues. </w:t>
      </w:r>
      <w:r w:rsidR="00C85D00">
        <w:t>Following this</w:t>
      </w:r>
      <w:r w:rsidR="00AE3A2D">
        <w:t>,</w:t>
      </w:r>
      <w:r w:rsidR="00C85D00">
        <w:t xml:space="preserve"> is the data gathering phase</w:t>
      </w:r>
      <w:r w:rsidR="00BA106B">
        <w:t xml:space="preserve">, as described for the triazoles in Tables </w:t>
      </w:r>
      <w:r w:rsidR="001447B1">
        <w:t>5</w:t>
      </w:r>
      <w:r w:rsidR="00BA106B">
        <w:t xml:space="preserve"> and </w:t>
      </w:r>
      <w:r w:rsidR="00566A70">
        <w:t>6</w:t>
      </w:r>
      <w:r w:rsidR="00BA106B">
        <w:t>. Following</w:t>
      </w:r>
      <w:r w:rsidR="00695E4D">
        <w:t xml:space="preserve"> compilation of the data</w:t>
      </w:r>
      <w:r w:rsidR="00BA106B">
        <w:t xml:space="preserve">, a series of </w:t>
      </w:r>
      <w:r w:rsidR="0008082C">
        <w:t xml:space="preserve">questions clarify whether </w:t>
      </w:r>
      <w:r w:rsidR="00B658AF">
        <w:t xml:space="preserve">the domains are met and </w:t>
      </w:r>
      <w:r w:rsidR="000D102D">
        <w:t xml:space="preserve">what </w:t>
      </w:r>
      <w:r w:rsidR="00B658AF">
        <w:t xml:space="preserve">possible consequences </w:t>
      </w:r>
      <w:r w:rsidR="000D102D">
        <w:t xml:space="preserve">arise </w:t>
      </w:r>
      <w:r w:rsidR="00733A4F">
        <w:t>should they not have been. In some case</w:t>
      </w:r>
      <w:r w:rsidR="000D102D">
        <w:t>s</w:t>
      </w:r>
      <w:r w:rsidR="00733A4F">
        <w:t xml:space="preserve"> there may be an opportunity to obtain further information</w:t>
      </w:r>
      <w:r w:rsidR="00BD186B">
        <w:t xml:space="preserve">, either by measurement or from predictions. </w:t>
      </w:r>
      <w:r w:rsidR="008624A4">
        <w:t xml:space="preserve">There are opportunities in the domain definition to use alternative sources of information, for instance </w:t>
      </w:r>
      <w:r w:rsidR="000D4B38">
        <w:t xml:space="preserve">where definitive chemical structures cannot be achieved e.g. </w:t>
      </w:r>
      <w:r w:rsidR="00E75106">
        <w:t xml:space="preserve">if </w:t>
      </w:r>
      <w:r w:rsidR="000D4B38">
        <w:t xml:space="preserve">similarity </w:t>
      </w:r>
      <w:r w:rsidR="00E75106">
        <w:t xml:space="preserve">can </w:t>
      </w:r>
      <w:r w:rsidR="000D4B38">
        <w:t>be obtained from biological read-across</w:t>
      </w:r>
      <w:r w:rsidR="008C6A99">
        <w:t xml:space="preserve">. </w:t>
      </w:r>
      <w:r w:rsidR="00E75106">
        <w:t>This b</w:t>
      </w:r>
      <w:r w:rsidR="008C6A99">
        <w:t xml:space="preserve">iological read-across </w:t>
      </w:r>
      <w:r w:rsidR="00E75106">
        <w:t xml:space="preserve">concept </w:t>
      </w:r>
      <w:r w:rsidR="008C6A99">
        <w:t xml:space="preserve">implies </w:t>
      </w:r>
      <w:r w:rsidR="00E75106">
        <w:t xml:space="preserve">that </w:t>
      </w:r>
      <w:r w:rsidR="008C6A99">
        <w:t>similar substances have similar toxicological profiles when measured experimentally</w:t>
      </w:r>
      <w:r w:rsidR="00231132">
        <w:t xml:space="preserve"> </w:t>
      </w:r>
      <w:r w:rsidR="008F228F">
        <w:t>[1</w:t>
      </w:r>
      <w:r w:rsidR="00911935">
        <w:t>6</w:t>
      </w:r>
      <w:r w:rsidR="008F228F">
        <w:t xml:space="preserve">, </w:t>
      </w:r>
      <w:r w:rsidR="00911935">
        <w:t>39</w:t>
      </w:r>
      <w:r w:rsidR="008F228F">
        <w:t>, 4</w:t>
      </w:r>
      <w:r w:rsidR="00911935">
        <w:t>0</w:t>
      </w:r>
      <w:r w:rsidR="008F228F">
        <w:t>]</w:t>
      </w:r>
      <w:r w:rsidR="00D65BC5">
        <w:t>.</w:t>
      </w:r>
    </w:p>
    <w:p w14:paraId="624ED422" w14:textId="55D4F0F9" w:rsidR="0040754F" w:rsidRDefault="00653596" w:rsidP="005B7121">
      <w:pPr>
        <w:spacing w:after="120" w:line="480" w:lineRule="auto"/>
        <w:jc w:val="both"/>
      </w:pPr>
      <w:r>
        <w:t xml:space="preserve">The </w:t>
      </w:r>
      <w:r w:rsidR="00E0259B">
        <w:t xml:space="preserve">properties listed in </w:t>
      </w:r>
      <w:r w:rsidR="006F1D80">
        <w:t xml:space="preserve">Table </w:t>
      </w:r>
      <w:r w:rsidR="00AE3A2D">
        <w:t>2</w:t>
      </w:r>
      <w:r w:rsidR="006F1D80">
        <w:t xml:space="preserve"> </w:t>
      </w:r>
      <w:r>
        <w:t xml:space="preserve">have been </w:t>
      </w:r>
      <w:r w:rsidR="00B11C55">
        <w:t>compil</w:t>
      </w:r>
      <w:r w:rsidR="00E0259B">
        <w:t xml:space="preserve">ed </w:t>
      </w:r>
      <w:r>
        <w:t xml:space="preserve">for both the one-to-one analogue and for the triazole </w:t>
      </w:r>
      <w:r w:rsidR="00566A70">
        <w:t>and imi</w:t>
      </w:r>
      <w:r w:rsidR="009E7F7D">
        <w:t xml:space="preserve">dazole </w:t>
      </w:r>
      <w:r>
        <w:t>categor</w:t>
      </w:r>
      <w:r w:rsidR="009E7F7D">
        <w:t>ies</w:t>
      </w:r>
      <w:r>
        <w:t xml:space="preserve"> (Supplementary Information Table S</w:t>
      </w:r>
      <w:r w:rsidR="00DF18C8">
        <w:t>1</w:t>
      </w:r>
      <w:r>
        <w:t>). Thus, i</w:t>
      </w:r>
      <w:r w:rsidR="00E857B9">
        <w:t xml:space="preserve">n this study, the use of the applicability domain has confirmed the suitability of </w:t>
      </w:r>
      <w:r w:rsidR="00DF18C8">
        <w:t xml:space="preserve">hexaconazole </w:t>
      </w:r>
      <w:r w:rsidR="00E857B9">
        <w:t xml:space="preserve">to be an analogue for </w:t>
      </w:r>
      <w:r w:rsidR="00DF18C8">
        <w:t>tetraconazole</w:t>
      </w:r>
      <w:r w:rsidR="00E857B9">
        <w:t xml:space="preserve">. </w:t>
      </w:r>
      <w:r w:rsidR="00AE2138">
        <w:t>Obviously</w:t>
      </w:r>
      <w:r w:rsidR="00E75106">
        <w:t>,</w:t>
      </w:r>
      <w:r w:rsidR="00AE2138">
        <w:t xml:space="preserve"> the criteria to define the domain can be tightened or adjusted as is required</w:t>
      </w:r>
      <w:r w:rsidR="00E75106">
        <w:t>.</w:t>
      </w:r>
      <w:r w:rsidR="00AE2138">
        <w:t xml:space="preserve"> </w:t>
      </w:r>
      <w:r w:rsidR="00E75106">
        <w:t>T</w:t>
      </w:r>
      <w:r w:rsidR="00AE2138">
        <w:t xml:space="preserve">he values to confirm similarity are arbitrary at this time and </w:t>
      </w:r>
      <w:r w:rsidR="00E75106">
        <w:t xml:space="preserve">are </w:t>
      </w:r>
      <w:r w:rsidR="00AE2138">
        <w:t>based solely on the authors</w:t>
      </w:r>
      <w:r w:rsidR="00AE3A2D">
        <w:t>’</w:t>
      </w:r>
      <w:r w:rsidR="00AE2138">
        <w:t xml:space="preserve"> experience and what may be considered to have little significant effect in terms of changing properties, or be within </w:t>
      </w:r>
      <w:r w:rsidR="00FC6185">
        <w:t xml:space="preserve">expected limits of </w:t>
      </w:r>
      <w:r w:rsidR="00AE2138">
        <w:t>experiment</w:t>
      </w:r>
      <w:r w:rsidR="00FC6185">
        <w:t>al error</w:t>
      </w:r>
      <w:r w:rsidR="00AE2138">
        <w:t xml:space="preserve">. </w:t>
      </w:r>
      <w:r w:rsidR="00782944">
        <w:t>It must also be stated that the domain must be considered in a flexible context</w:t>
      </w:r>
      <w:r w:rsidR="003933D2">
        <w:t xml:space="preserve">, with different properties being important for different endpoints and effects e.g. </w:t>
      </w:r>
      <w:r w:rsidR="008B5A76">
        <w:t xml:space="preserve">for dermal toxicity, internal organ concentrations would not be required, </w:t>
      </w:r>
      <w:r w:rsidR="00E75106">
        <w:t xml:space="preserve">whilst </w:t>
      </w:r>
      <w:r w:rsidR="008B5A76">
        <w:t>for environmental effects</w:t>
      </w:r>
      <w:r w:rsidR="00773052">
        <w:t xml:space="preserve">, other factors such as fate and persistence in the </w:t>
      </w:r>
      <w:r w:rsidR="00A00EE5">
        <w:t>different media (e.g. water, soil, air</w:t>
      </w:r>
      <w:r w:rsidR="00641B14">
        <w:t>,</w:t>
      </w:r>
      <w:r w:rsidR="00A00EE5">
        <w:t xml:space="preserve"> etc) may be of importance. </w:t>
      </w:r>
    </w:p>
    <w:p w14:paraId="3011413C" w14:textId="4E690865" w:rsidR="00D14595" w:rsidRDefault="000C52DF" w:rsidP="005B7121">
      <w:pPr>
        <w:spacing w:after="120" w:line="480" w:lineRule="auto"/>
        <w:jc w:val="both"/>
      </w:pPr>
      <w:r>
        <w:t xml:space="preserve">The applicability domain concept can also be applied to </w:t>
      </w:r>
      <w:r w:rsidR="00842136">
        <w:t xml:space="preserve">potentially expand the </w:t>
      </w:r>
      <w:r w:rsidR="009126A2">
        <w:t>categories of molecules. Analysis of the domain through descriptors has at least two applications</w:t>
      </w:r>
      <w:r w:rsidR="00E75106">
        <w:t>:</w:t>
      </w:r>
      <w:r w:rsidR="009126A2">
        <w:t xml:space="preserve"> </w:t>
      </w:r>
      <w:r w:rsidR="00E75106">
        <w:t>f</w:t>
      </w:r>
      <w:r w:rsidR="009126A2">
        <w:t>irstly it will determine whether a new molecule is within the domain of a category</w:t>
      </w:r>
      <w:r w:rsidR="005472D9">
        <w:t>; s</w:t>
      </w:r>
      <w:r w:rsidR="009126A2">
        <w:t xml:space="preserve">econdly it may assist in the better identification of one or more </w:t>
      </w:r>
      <w:r w:rsidR="00593826">
        <w:t xml:space="preserve">similar </w:t>
      </w:r>
      <w:r w:rsidR="009126A2">
        <w:t>analogue</w:t>
      </w:r>
      <w:r w:rsidR="00593826">
        <w:t>s to the target</w:t>
      </w:r>
      <w:r w:rsidR="009126A2">
        <w:t xml:space="preserve"> from with</w:t>
      </w:r>
      <w:r w:rsidR="00593826">
        <w:t xml:space="preserve">in the </w:t>
      </w:r>
      <w:r w:rsidR="00EC4F0D">
        <w:t>group</w:t>
      </w:r>
      <w:r w:rsidR="00593826">
        <w:t xml:space="preserve">. </w:t>
      </w:r>
      <w:r w:rsidR="00D94B9A">
        <w:t xml:space="preserve">Therefore in this study, </w:t>
      </w:r>
      <w:r w:rsidR="000314A7">
        <w:t>the domain of the tr</w:t>
      </w:r>
      <w:r w:rsidR="00C96123">
        <w:t xml:space="preserve">iazoles is defined. </w:t>
      </w:r>
      <w:r w:rsidR="007430C1">
        <w:t xml:space="preserve">The target and source molecules exemplified by the </w:t>
      </w:r>
      <w:r w:rsidR="008C5453">
        <w:t xml:space="preserve">analogue approach are </w:t>
      </w:r>
      <w:r w:rsidR="00DD290D">
        <w:t>shown to be in close proximity</w:t>
      </w:r>
      <w:r w:rsidR="00490079">
        <w:t>,</w:t>
      </w:r>
      <w:r w:rsidR="007B39A3">
        <w:t xml:space="preserve"> and as </w:t>
      </w:r>
      <w:r w:rsidR="00490079">
        <w:t xml:space="preserve">such to be </w:t>
      </w:r>
      <w:r w:rsidR="007B39A3">
        <w:t xml:space="preserve">suitable analogues. This approach also provides an opportunity to </w:t>
      </w:r>
      <w:r w:rsidR="008A0147">
        <w:t xml:space="preserve">determine whether the triazole group can be expanded to include the </w:t>
      </w:r>
      <w:proofErr w:type="spellStart"/>
      <w:r w:rsidR="008A0147">
        <w:t>imidazoles</w:t>
      </w:r>
      <w:proofErr w:type="spellEnd"/>
      <w:r w:rsidR="003005AB">
        <w:t>. From a chemistry perspective it would appear that</w:t>
      </w:r>
      <w:r w:rsidR="00490079">
        <w:t xml:space="preserve"> such an expansion is feasible</w:t>
      </w:r>
      <w:r w:rsidR="00FE40DB">
        <w:t>.</w:t>
      </w:r>
      <w:r w:rsidR="00C017C5">
        <w:t xml:space="preserve"> </w:t>
      </w:r>
      <w:r w:rsidR="00FE40DB">
        <w:t>H</w:t>
      </w:r>
      <w:r w:rsidR="00C017C5">
        <w:t>owever</w:t>
      </w:r>
      <w:r w:rsidR="00EC4F0D">
        <w:t>,</w:t>
      </w:r>
      <w:r w:rsidR="00C017C5">
        <w:t xml:space="preserve"> the key question that would need to be addressed is whether there is sufficient similarity in mechanism. This final question may be resolved by </w:t>
      </w:r>
      <w:r w:rsidR="00C017C5" w:rsidRPr="00224225">
        <w:rPr>
          <w:i/>
        </w:rPr>
        <w:t>in silico</w:t>
      </w:r>
      <w:r w:rsidR="00C017C5">
        <w:t xml:space="preserve"> profiling or, more likely, by examining existing </w:t>
      </w:r>
      <w:r w:rsidR="00C017C5" w:rsidRPr="000D3075">
        <w:rPr>
          <w:i/>
          <w:iCs/>
        </w:rPr>
        <w:t>in vivo</w:t>
      </w:r>
      <w:r w:rsidR="00C017C5">
        <w:t xml:space="preserve"> data e.g. for commonality in adverse effects or measuring further in vitro data. </w:t>
      </w:r>
      <w:r w:rsidR="00FA5A5B">
        <w:t xml:space="preserve">   </w:t>
      </w:r>
    </w:p>
    <w:p w14:paraId="780A3FB8" w14:textId="026DD493" w:rsidR="00690DC1" w:rsidRDefault="00690DC1" w:rsidP="005B7121">
      <w:pPr>
        <w:spacing w:after="120" w:line="480" w:lineRule="auto"/>
        <w:jc w:val="both"/>
      </w:pPr>
      <w:r>
        <w:t xml:space="preserve">There are several advantages to the analysis of ranges of variables </w:t>
      </w:r>
      <w:r w:rsidR="0088085E">
        <w:t>when</w:t>
      </w:r>
      <w:r>
        <w:t xml:space="preserve"> describ</w:t>
      </w:r>
      <w:r w:rsidR="0088085E">
        <w:t>ing</w:t>
      </w:r>
      <w:r>
        <w:t xml:space="preserve"> the domain of a category. They provide the opportunity to determine if the target molecule falls within the range – which can be confirmatory of being in domain. Also, if a target molecule appears to fall out the range, this can be considered in the context of the read-across problem formulation e.g. is this a significant issue and / or can further information be obtained</w:t>
      </w:r>
      <w:r w:rsidR="00FE40DB">
        <w:t>?</w:t>
      </w:r>
      <w:r>
        <w:t xml:space="preserve"> Th</w:t>
      </w:r>
      <w:r w:rsidR="0088085E">
        <w:t>is</w:t>
      </w:r>
      <w:r>
        <w:t xml:space="preserve"> further information may be </w:t>
      </w:r>
      <w:r w:rsidR="00FD206D">
        <w:t xml:space="preserve">arise </w:t>
      </w:r>
      <w:r>
        <w:t xml:space="preserve">in the form of additional NAM data, or </w:t>
      </w:r>
      <w:r w:rsidR="00FD206D">
        <w:t xml:space="preserve">it </w:t>
      </w:r>
      <w:r w:rsidR="00490079">
        <w:t xml:space="preserve">may </w:t>
      </w:r>
      <w:r w:rsidR="0088085E">
        <w:t xml:space="preserve">instead </w:t>
      </w:r>
      <w:r w:rsidR="00490079">
        <w:t xml:space="preserve">be </w:t>
      </w:r>
      <w:r>
        <w:t xml:space="preserve">measured rather than estimated. In addition, they may give an insight into the “quality” of a category in terms of its suitability i.e. a narrow range of descriptors may indicate a “tight” domain and could be indicative of closely related molecules. </w:t>
      </w:r>
      <w:r w:rsidR="00FD206D">
        <w:t xml:space="preserve">Furthermore, </w:t>
      </w:r>
      <w:r>
        <w:t xml:space="preserve">making the domain quantitative allows for the selection of highly related analogues, if a choice is available. </w:t>
      </w:r>
    </w:p>
    <w:p w14:paraId="3C3B675C" w14:textId="48330EE5" w:rsidR="00690DC1" w:rsidRDefault="00690DC1" w:rsidP="005B7121">
      <w:pPr>
        <w:spacing w:after="120" w:line="480" w:lineRule="auto"/>
        <w:jc w:val="both"/>
      </w:pPr>
      <w:r>
        <w:t>Consideration of the data in Table 6 demonstrates how the definition of domains for read-across assists in our understanding of the quality of read-across analogues. The target molecule (tetraconazole) is seen to fit closely in the domain of the azole category, as would be expected. The domain of the category is quite consistent and relatively restricted in terms of the descriptors considered. The multivariate analysis of the domain e.g. Figure 1, can allow for a smaller number of closely related analogues</w:t>
      </w:r>
      <w:r w:rsidR="0088085E">
        <w:t>.</w:t>
      </w:r>
      <w:r>
        <w:t xml:space="preserve"> </w:t>
      </w:r>
      <w:r w:rsidR="0088085E">
        <w:t>T</w:t>
      </w:r>
      <w:r>
        <w:t xml:space="preserve">his is analogous to the process of “sub-categorisation” </w:t>
      </w:r>
      <w:r w:rsidR="00911935">
        <w:t>[54</w:t>
      </w:r>
      <w:r w:rsidR="000621C4">
        <w:t>]</w:t>
      </w:r>
      <w:r>
        <w:t xml:space="preserve">, albeit in this case it would be on the basis of predefined domain characteristics within a relatively small category. Such sub-categorisation would allow for the identification of a small number of potentially strong and justifiable analogues from the category and may make further data collection more streamlined. </w:t>
      </w:r>
    </w:p>
    <w:p w14:paraId="4F68D907" w14:textId="18F74A3F" w:rsidR="009E2E7A" w:rsidRDefault="00690DC1" w:rsidP="005B7121">
      <w:pPr>
        <w:spacing w:after="120" w:line="480" w:lineRule="auto"/>
        <w:jc w:val="both"/>
      </w:pPr>
      <w:r>
        <w:t xml:space="preserve">Attempts to expand the triazole domain to </w:t>
      </w:r>
      <w:proofErr w:type="spellStart"/>
      <w:r>
        <w:t>imidazoles</w:t>
      </w:r>
      <w:proofErr w:type="spellEnd"/>
      <w:r>
        <w:t xml:space="preserve"> demonstrate that, </w:t>
      </w:r>
      <w:r w:rsidR="0088085E">
        <w:t xml:space="preserve">whilst </w:t>
      </w:r>
      <w:r>
        <w:t>there are many commonalities in the applicability domain,</w:t>
      </w:r>
      <w:r w:rsidR="0088085E">
        <w:t xml:space="preserve"> there are</w:t>
      </w:r>
      <w:r>
        <w:t xml:space="preserve"> also differences. The data in Table 6 indicate key differences in the domains between the triazoles and </w:t>
      </w:r>
      <w:proofErr w:type="spellStart"/>
      <w:r>
        <w:t>imidazoles</w:t>
      </w:r>
      <w:proofErr w:type="spellEnd"/>
      <w:r>
        <w:t xml:space="preserve">. Firstly, the imidazole category is broader than for the </w:t>
      </w:r>
      <w:r w:rsidR="00FE40DB">
        <w:t>tri</w:t>
      </w:r>
      <w:r>
        <w:t xml:space="preserve">azoles in terms of the </w:t>
      </w:r>
      <w:proofErr w:type="spellStart"/>
      <w:r>
        <w:t>physico</w:t>
      </w:r>
      <w:proofErr w:type="spellEnd"/>
      <w:r>
        <w:t xml:space="preserve">-chemical properties, therefore there may be fewer high quality analogues. There is good evidence that the </w:t>
      </w:r>
      <w:proofErr w:type="spellStart"/>
      <w:r>
        <w:t>toxicodynamics</w:t>
      </w:r>
      <w:proofErr w:type="spellEnd"/>
      <w:r>
        <w:t xml:space="preserve"> of the triazoles and </w:t>
      </w:r>
      <w:proofErr w:type="spellStart"/>
      <w:r>
        <w:t>imidazoles</w:t>
      </w:r>
      <w:proofErr w:type="spellEnd"/>
      <w:r>
        <w:t xml:space="preserve"> may be similar, however the most striking difference is in the toxicokinetic domain. As well as some differences in distribution of the </w:t>
      </w:r>
      <w:proofErr w:type="spellStart"/>
      <w:r>
        <w:t>imidazoles</w:t>
      </w:r>
      <w:proofErr w:type="spellEnd"/>
      <w:r>
        <w:t xml:space="preserve">, as predicted by PBPK modelling, the most </w:t>
      </w:r>
      <w:r w:rsidR="00FE40DB">
        <w:t xml:space="preserve">important </w:t>
      </w:r>
      <w:r>
        <w:t xml:space="preserve">difference is in </w:t>
      </w:r>
      <w:r w:rsidR="0088085E">
        <w:t xml:space="preserve">identities of </w:t>
      </w:r>
      <w:r>
        <w:t>the significant metabolites</w:t>
      </w:r>
      <w:r w:rsidR="0088085E">
        <w:t xml:space="preserve"> formed</w:t>
      </w:r>
      <w:r>
        <w:t xml:space="preserve">. Further assessment of the domain of the </w:t>
      </w:r>
      <w:proofErr w:type="spellStart"/>
      <w:r>
        <w:t>imidazoles</w:t>
      </w:r>
      <w:proofErr w:type="spellEnd"/>
      <w:r>
        <w:t xml:space="preserve"> with regard to the PBPK modelling and metabolism is required. This may be in terms of better optimisation of the models or other measurements</w:t>
      </w:r>
      <w:r w:rsidR="001C6E47">
        <w:t>,</w:t>
      </w:r>
      <w:r>
        <w:t xml:space="preserve"> or</w:t>
      </w:r>
      <w:r w:rsidR="001C6E47">
        <w:t xml:space="preserve"> alternatively a</w:t>
      </w:r>
      <w:r>
        <w:t xml:space="preserve"> review of existing knowledge to increase understanding. Thus, the ability to organise the information regarding the category, as shown in Table 6, is a useful means to identify potential uncertainties in the read-across argument and justification. Overall, the extension of the read-across category to include the </w:t>
      </w:r>
      <w:proofErr w:type="spellStart"/>
      <w:r>
        <w:t>imidazoles</w:t>
      </w:r>
      <w:proofErr w:type="spellEnd"/>
      <w:r>
        <w:t xml:space="preserve"> should not be dismissed, but the information provided by the analysis of the domain suggests that this category will provide lower quality analogues</w:t>
      </w:r>
      <w:r w:rsidR="00A332D1">
        <w:t xml:space="preserve">. Whilst potentially </w:t>
      </w:r>
      <w:r w:rsidR="001C6E47">
        <w:t xml:space="preserve">of </w:t>
      </w:r>
      <w:r w:rsidR="00A332D1">
        <w:t>lower quality, the imidazole analogues</w:t>
      </w:r>
      <w:r w:rsidRPr="00A332D1">
        <w:t xml:space="preserve"> may, however, provide additional weight of evidence</w:t>
      </w:r>
      <w:r w:rsidR="001C6E47">
        <w:t xml:space="preserve"> -</w:t>
      </w:r>
      <w:r w:rsidRPr="00A332D1">
        <w:t xml:space="preserve"> in this case in terms of consistency </w:t>
      </w:r>
      <w:r w:rsidR="001C6E47">
        <w:t>with</w:t>
      </w:r>
      <w:r w:rsidRPr="00A332D1">
        <w:t xml:space="preserve">in </w:t>
      </w:r>
      <w:proofErr w:type="spellStart"/>
      <w:r w:rsidRPr="00A332D1">
        <w:t>toxicodynamics</w:t>
      </w:r>
      <w:proofErr w:type="spellEnd"/>
      <w:r w:rsidRPr="00A332D1">
        <w:t xml:space="preserve"> and NOAEL values.</w:t>
      </w:r>
    </w:p>
    <w:p w14:paraId="1952EB9E" w14:textId="1F512A7F" w:rsidR="00690DC1" w:rsidRDefault="00690DC1" w:rsidP="005B7121">
      <w:pPr>
        <w:spacing w:after="120" w:line="480" w:lineRule="auto"/>
        <w:jc w:val="both"/>
      </w:pPr>
    </w:p>
    <w:p w14:paraId="707415BF" w14:textId="7E14F099" w:rsidR="009E2E7A" w:rsidRPr="00E03642" w:rsidRDefault="00E03642" w:rsidP="005B7121">
      <w:pPr>
        <w:spacing w:after="120" w:line="480" w:lineRule="auto"/>
        <w:jc w:val="both"/>
        <w:rPr>
          <w:i/>
          <w:iCs/>
        </w:rPr>
      </w:pPr>
      <w:r w:rsidRPr="00E03642">
        <w:rPr>
          <w:i/>
          <w:iCs/>
        </w:rPr>
        <w:t>4.6 General Comments and Context</w:t>
      </w:r>
    </w:p>
    <w:p w14:paraId="31E18B81" w14:textId="613D8ABD" w:rsidR="0089755F" w:rsidRDefault="0089755F" w:rsidP="005B7121">
      <w:pPr>
        <w:spacing w:after="120" w:line="480" w:lineRule="auto"/>
        <w:jc w:val="both"/>
      </w:pPr>
      <w:r>
        <w:t xml:space="preserve">Read-across for the filling of toxicity </w:t>
      </w:r>
      <w:r w:rsidR="00F02ACB">
        <w:t>data gaps remains a beguiling</w:t>
      </w:r>
      <w:r w:rsidR="007D44A9">
        <w:t>, yet</w:t>
      </w:r>
      <w:r w:rsidR="00F02ACB">
        <w:t xml:space="preserve"> somehow elusive</w:t>
      </w:r>
      <w:r w:rsidR="007D44A9">
        <w:t>,</w:t>
      </w:r>
      <w:r w:rsidR="00F02ACB">
        <w:t xml:space="preserve"> </w:t>
      </w:r>
      <w:r w:rsidR="007D44A9">
        <w:t xml:space="preserve">proposition. </w:t>
      </w:r>
      <w:r w:rsidR="00E02855">
        <w:t>From humble beginning</w:t>
      </w:r>
      <w:r w:rsidR="00AE3A2D">
        <w:t>s,</w:t>
      </w:r>
      <w:r w:rsidR="00E02855">
        <w:t xml:space="preserve"> in what was little more than </w:t>
      </w:r>
      <w:r w:rsidR="00E02855" w:rsidRPr="0052493A">
        <w:t xml:space="preserve">an analogue approach to fill data gaps in high production volume categories </w:t>
      </w:r>
      <w:r w:rsidR="000621C4">
        <w:t>[6</w:t>
      </w:r>
      <w:r w:rsidR="00911935">
        <w:t>3</w:t>
      </w:r>
      <w:r w:rsidR="000621C4">
        <w:t>]</w:t>
      </w:r>
      <w:r w:rsidR="007C0222" w:rsidRPr="0052493A">
        <w:t>,</w:t>
      </w:r>
      <w:r w:rsidR="007C0222">
        <w:t xml:space="preserve"> it has been transformed into something of great expectations and now can be viewed as a </w:t>
      </w:r>
      <w:r w:rsidR="00220FDF">
        <w:t xml:space="preserve">potentially complex </w:t>
      </w:r>
      <w:r w:rsidR="007C0222">
        <w:t>data</w:t>
      </w:r>
      <w:r w:rsidR="00E65D71">
        <w:t xml:space="preserve"> gathering and interpretation exercise </w:t>
      </w:r>
      <w:r w:rsidR="000621C4">
        <w:t>[14, 1</w:t>
      </w:r>
      <w:r w:rsidR="00911935">
        <w:t>6</w:t>
      </w:r>
      <w:r w:rsidR="000621C4">
        <w:t>, 5</w:t>
      </w:r>
      <w:r w:rsidR="00911935">
        <w:t>7</w:t>
      </w:r>
      <w:r w:rsidR="000621C4">
        <w:t>]</w:t>
      </w:r>
      <w:r w:rsidR="002A25E3">
        <w:t>. The complexities of “modern” read-across should not</w:t>
      </w:r>
      <w:r w:rsidR="0041658F">
        <w:t>, however,</w:t>
      </w:r>
      <w:r w:rsidR="002A25E3">
        <w:t xml:space="preserve"> hide the basic need, and intrinsic difficulty, of justifying similar</w:t>
      </w:r>
      <w:r w:rsidR="00330C2F">
        <w:t>ity</w:t>
      </w:r>
      <w:r w:rsidR="004031E2">
        <w:t>,</w:t>
      </w:r>
      <w:r w:rsidR="002A25E3">
        <w:t xml:space="preserve"> and identifying significant </w:t>
      </w:r>
      <w:r w:rsidR="004031E2">
        <w:t>dissimilarity</w:t>
      </w:r>
      <w:r w:rsidR="00330C2F">
        <w:t>,</w:t>
      </w:r>
      <w:r w:rsidR="004031E2">
        <w:t xml:space="preserve"> of the data-poor and data-rich molecules. </w:t>
      </w:r>
      <w:r w:rsidR="0041658F">
        <w:t xml:space="preserve">The justification and description of similarity is one of the fundamental means of demonstrating the validity of a read-across for a particular purpose and hence its potential acceptability. </w:t>
      </w:r>
      <w:r w:rsidR="006D7F9F">
        <w:t>Th</w:t>
      </w:r>
      <w:r w:rsidR="00AE3A2D">
        <w:t>is</w:t>
      </w:r>
      <w:r w:rsidR="006D7F9F">
        <w:t xml:space="preserve"> study has made an attempt to formalise the overall domain of a read-across into chemistry, toxicodynamic and toxicokinetic domains. </w:t>
      </w:r>
    </w:p>
    <w:p w14:paraId="3D76FA51" w14:textId="46429ED4" w:rsidR="00AB5786" w:rsidRDefault="00166D7A" w:rsidP="005B7121">
      <w:pPr>
        <w:spacing w:after="120" w:line="480" w:lineRule="auto"/>
        <w:jc w:val="both"/>
      </w:pPr>
      <w:r>
        <w:t xml:space="preserve">The concept of </w:t>
      </w:r>
      <w:r w:rsidR="00AE3A2D">
        <w:t xml:space="preserve">an </w:t>
      </w:r>
      <w:r>
        <w:t xml:space="preserve">applicability </w:t>
      </w:r>
      <w:r w:rsidR="00AE3A2D">
        <w:t xml:space="preserve">domain </w:t>
      </w:r>
      <w:r>
        <w:t xml:space="preserve">for </w:t>
      </w:r>
      <w:r w:rsidRPr="00A332D1">
        <w:rPr>
          <w:i/>
        </w:rPr>
        <w:t>in silico</w:t>
      </w:r>
      <w:r>
        <w:t xml:space="preserve"> toxicology is not, of course, novel</w:t>
      </w:r>
      <w:r w:rsidR="004F01EF">
        <w:t>,</w:t>
      </w:r>
      <w:r w:rsidR="003C1AA6">
        <w:t xml:space="preserve"> having been applied extensively in QSAR. Its application, by name </w:t>
      </w:r>
      <w:r w:rsidR="006103F2">
        <w:t xml:space="preserve">at least, to grouping and read-across has been limited, although it is a concept that is required to assist in the acceptance of predictions. </w:t>
      </w:r>
      <w:r w:rsidR="00F66D92">
        <w:t>The strategy outlined in this publication is a step in the direction of a standardised approach, as it covers all the main point</w:t>
      </w:r>
      <w:r w:rsidR="00DC3072">
        <w:t xml:space="preserve">s required by e.g. ECHA RAAF and </w:t>
      </w:r>
      <w:r w:rsidR="001C6E47">
        <w:t xml:space="preserve">in </w:t>
      </w:r>
      <w:r w:rsidR="00DC3072">
        <w:t>identifi</w:t>
      </w:r>
      <w:r w:rsidR="001C6E47">
        <w:t>cation</w:t>
      </w:r>
      <w:r w:rsidR="00DC3072">
        <w:t xml:space="preserve"> </w:t>
      </w:r>
      <w:r w:rsidR="001C6E47">
        <w:t>of</w:t>
      </w:r>
      <w:r w:rsidR="00DC3072">
        <w:t xml:space="preserve"> uncertainties. </w:t>
      </w:r>
      <w:r w:rsidR="00C66721">
        <w:t xml:space="preserve">It </w:t>
      </w:r>
      <w:r w:rsidR="004B68BF">
        <w:t xml:space="preserve">continues ongoing work that </w:t>
      </w:r>
      <w:r w:rsidR="00C66721">
        <w:t>extends previous, predominantly chemistry</w:t>
      </w:r>
      <w:r w:rsidR="001C6E47">
        <w:t>-</w:t>
      </w:r>
      <w:r w:rsidR="00C66721">
        <w:t xml:space="preserve">based </w:t>
      </w:r>
      <w:r w:rsidR="009210FE">
        <w:t xml:space="preserve">domain analyses by inclusion of information on </w:t>
      </w:r>
      <w:proofErr w:type="spellStart"/>
      <w:r w:rsidR="009210FE">
        <w:t>toxicodynamics</w:t>
      </w:r>
      <w:proofErr w:type="spellEnd"/>
      <w:r w:rsidR="009210FE">
        <w:t xml:space="preserve"> and </w:t>
      </w:r>
      <w:proofErr w:type="spellStart"/>
      <w:r w:rsidR="009210FE">
        <w:t>toxicokinetics</w:t>
      </w:r>
      <w:proofErr w:type="spellEnd"/>
      <w:r w:rsidR="004B68BF">
        <w:t xml:space="preserve"> (</w:t>
      </w:r>
      <w:r w:rsidR="000C7FB1">
        <w:t>e.g. Rice et al.</w:t>
      </w:r>
      <w:r w:rsidR="000621C4">
        <w:t xml:space="preserve"> [6</w:t>
      </w:r>
      <w:r w:rsidR="00911935">
        <w:t>4</w:t>
      </w:r>
      <w:r w:rsidR="000621C4">
        <w:t>]</w:t>
      </w:r>
      <w:r w:rsidR="000C7FB1">
        <w:t>)</w:t>
      </w:r>
      <w:r w:rsidR="009210FE">
        <w:t xml:space="preserve">. </w:t>
      </w:r>
      <w:r w:rsidR="00EF1978">
        <w:t xml:space="preserve">It seems obvious that there is </w:t>
      </w:r>
      <w:r w:rsidR="00AE3A2D">
        <w:t xml:space="preserve">a </w:t>
      </w:r>
      <w:r w:rsidR="00EF1978">
        <w:t xml:space="preserve">solution to the question of whether </w:t>
      </w:r>
      <w:r w:rsidR="009A2F3A">
        <w:t>a single analogue is within the domain of another molecule</w:t>
      </w:r>
      <w:r w:rsidR="00AE3A2D">
        <w:t>,</w:t>
      </w:r>
      <w:r w:rsidR="009A2F3A">
        <w:t xml:space="preserve"> without making prior assumptions of what is acceptable in term of differences</w:t>
      </w:r>
      <w:r w:rsidR="009C51F2">
        <w:t xml:space="preserve">. It is highly likely that mechanistic similarity is a pre-requisite for analogues, followed by the acceptance that </w:t>
      </w:r>
      <w:proofErr w:type="spellStart"/>
      <w:r w:rsidR="009C51F2">
        <w:t>toxicokinetics</w:t>
      </w:r>
      <w:proofErr w:type="spellEnd"/>
      <w:r w:rsidR="009C51F2">
        <w:t xml:space="preserve"> should not increase adversity beyond what may be predictable. </w:t>
      </w:r>
      <w:r w:rsidR="003E4C04">
        <w:t>In addition, it should be considered that applicability domains, however defined, will be context</w:t>
      </w:r>
      <w:r w:rsidR="001C6E47">
        <w:t>-</w:t>
      </w:r>
      <w:r w:rsidR="003E4C04">
        <w:t>dependent</w:t>
      </w:r>
      <w:r w:rsidR="00862369">
        <w:t xml:space="preserve"> and adaptable for different endpoints and chemistries. The </w:t>
      </w:r>
      <w:r w:rsidR="00AE3A2D">
        <w:t>p</w:t>
      </w:r>
      <w:r w:rsidR="00862369">
        <w:t>resent</w:t>
      </w:r>
      <w:r w:rsidR="00AE3A2D">
        <w:t>ation of the domains</w:t>
      </w:r>
      <w:r w:rsidR="00862369">
        <w:t xml:space="preserve"> in this study should be suitable</w:t>
      </w:r>
      <w:r w:rsidR="001C6E47">
        <w:t xml:space="preserve"> for</w:t>
      </w:r>
      <w:r w:rsidR="005560EB">
        <w:t xml:space="preserve"> adapt</w:t>
      </w:r>
      <w:r w:rsidR="001C6E47">
        <w:t>ation</w:t>
      </w:r>
      <w:r w:rsidR="005560EB">
        <w:t xml:space="preserve"> to any scenario. </w:t>
      </w:r>
    </w:p>
    <w:p w14:paraId="7D0825DE" w14:textId="6C308554" w:rsidR="000C5651" w:rsidRDefault="000C5651" w:rsidP="005B7121">
      <w:pPr>
        <w:spacing w:after="120" w:line="480" w:lineRule="auto"/>
        <w:jc w:val="both"/>
      </w:pPr>
      <w:r w:rsidRPr="00A4543C">
        <w:t xml:space="preserve">The definition of applicability domain for read-across proposed in this study goes much further than </w:t>
      </w:r>
      <w:r w:rsidR="00D42291">
        <w:t xml:space="preserve">those forwarded in </w:t>
      </w:r>
      <w:r w:rsidRPr="00A4543C">
        <w:t>previous studies</w:t>
      </w:r>
      <w:r w:rsidR="00AD57BA" w:rsidRPr="00A4543C">
        <w:t xml:space="preserve"> </w:t>
      </w:r>
      <w:r w:rsidR="000621C4">
        <w:t>[4, 4</w:t>
      </w:r>
      <w:r w:rsidR="00911935">
        <w:t>6</w:t>
      </w:r>
      <w:r w:rsidR="000621C4">
        <w:t>, 4</w:t>
      </w:r>
      <w:r w:rsidR="00911935">
        <w:t>7</w:t>
      </w:r>
      <w:r w:rsidR="000621C4">
        <w:t>]</w:t>
      </w:r>
      <w:r w:rsidRPr="00A4543C">
        <w:t xml:space="preserve">. </w:t>
      </w:r>
      <w:r w:rsidR="00AE3A2D">
        <w:t>D</w:t>
      </w:r>
      <w:r w:rsidR="00AD57BA" w:rsidRPr="00A4543C">
        <w:t xml:space="preserve">ata </w:t>
      </w:r>
      <w:r w:rsidR="00875D1C" w:rsidRPr="00A4543C">
        <w:t xml:space="preserve">gathering exercises </w:t>
      </w:r>
      <w:r w:rsidRPr="00A4543C">
        <w:t>address all significant uncertainties and ECHA RAAF criteria</w:t>
      </w:r>
      <w:r w:rsidR="00AE3A2D">
        <w:t>,</w:t>
      </w:r>
      <w:r w:rsidRPr="00A4543C">
        <w:t xml:space="preserve"> and allows for a (semi-)</w:t>
      </w:r>
      <w:r w:rsidR="00AE3A2D">
        <w:t xml:space="preserve"> </w:t>
      </w:r>
      <w:r w:rsidRPr="00A4543C">
        <w:t xml:space="preserve">quantitative estimation of applicability domain to be made. </w:t>
      </w:r>
      <w:r w:rsidR="00875D1C" w:rsidRPr="00A4543C">
        <w:t xml:space="preserve">To our knowledge, it is </w:t>
      </w:r>
      <w:r w:rsidR="00AE3A2D">
        <w:t xml:space="preserve">the </w:t>
      </w:r>
      <w:r w:rsidR="00875D1C" w:rsidRPr="00A4543C">
        <w:t xml:space="preserve">first published study that formally organises all </w:t>
      </w:r>
      <w:r w:rsidR="00AE3A2D">
        <w:t xml:space="preserve">of </w:t>
      </w:r>
      <w:r w:rsidR="00875D1C" w:rsidRPr="00A4543C">
        <w:t xml:space="preserve">this information and brings the concept </w:t>
      </w:r>
      <w:r w:rsidR="00AE3A2D">
        <w:t xml:space="preserve">of </w:t>
      </w:r>
      <w:r w:rsidR="00961300" w:rsidRPr="00A4543C">
        <w:t>domain boundary criteria</w:t>
      </w:r>
      <w:r w:rsidR="00AE3A2D">
        <w:t xml:space="preserve"> to read-across</w:t>
      </w:r>
      <w:r w:rsidR="00961300" w:rsidRPr="00A4543C">
        <w:t>.</w:t>
      </w:r>
      <w:r w:rsidR="00961300">
        <w:t xml:space="preserve"> </w:t>
      </w:r>
      <w:r w:rsidR="005771DC">
        <w:t>In addition, it is a simple, flexible and adaptable approach</w:t>
      </w:r>
      <w:r w:rsidR="00CA1E96">
        <w:t xml:space="preserve"> based on the transparent presentation and interpretation of the properties and effects of molecule</w:t>
      </w:r>
      <w:r w:rsidR="00B766E3">
        <w:t>s</w:t>
      </w:r>
      <w:r w:rsidR="00CA1E96">
        <w:t xml:space="preserve">. </w:t>
      </w:r>
    </w:p>
    <w:p w14:paraId="457CD5C0" w14:textId="3544FBD1" w:rsidR="00166D7A" w:rsidRDefault="00166D7A" w:rsidP="005B7121">
      <w:pPr>
        <w:spacing w:after="120" w:line="480" w:lineRule="auto"/>
        <w:jc w:val="both"/>
      </w:pPr>
    </w:p>
    <w:p w14:paraId="0D0D2E85" w14:textId="4676ABE1" w:rsidR="005560EB" w:rsidRPr="00D00A8E" w:rsidRDefault="005560EB" w:rsidP="005B7121">
      <w:pPr>
        <w:pStyle w:val="EndNoteBibliography"/>
        <w:numPr>
          <w:ilvl w:val="0"/>
          <w:numId w:val="6"/>
        </w:numPr>
        <w:spacing w:after="120" w:line="48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Conclusions</w:t>
      </w:r>
    </w:p>
    <w:p w14:paraId="7BA05C9C" w14:textId="40FC4102" w:rsidR="004A1828" w:rsidRDefault="00ED7D32" w:rsidP="005B7121">
      <w:pPr>
        <w:spacing w:after="120" w:line="480" w:lineRule="auto"/>
        <w:jc w:val="both"/>
      </w:pPr>
      <w:r>
        <w:t xml:space="preserve">This study has brought together a wealth of knowledge and </w:t>
      </w:r>
      <w:r w:rsidR="004A1828">
        <w:t>experience from the scientific community spanning at least a decade</w:t>
      </w:r>
      <w:r w:rsidR="0009219D">
        <w:t xml:space="preserve"> </w:t>
      </w:r>
      <w:r w:rsidR="000621C4">
        <w:t>[6</w:t>
      </w:r>
      <w:r w:rsidR="00911935">
        <w:t>5</w:t>
      </w:r>
      <w:r w:rsidR="000621C4">
        <w:t>]</w:t>
      </w:r>
      <w:r w:rsidR="00173FEB">
        <w:t xml:space="preserve"> </w:t>
      </w:r>
      <w:r w:rsidR="00BB2F2D">
        <w:t>in order to derive a</w:t>
      </w:r>
      <w:r w:rsidR="00B11C55">
        <w:t>n approach</w:t>
      </w:r>
      <w:r w:rsidR="00BB2F2D">
        <w:t xml:space="preserve"> that will assist in the definition of the domain of a read-across anal</w:t>
      </w:r>
      <w:r w:rsidR="007F0D05">
        <w:t>ogue</w:t>
      </w:r>
      <w:r w:rsidR="004A1828">
        <w:t>.</w:t>
      </w:r>
      <w:r w:rsidR="007F0D05">
        <w:t xml:space="preserve"> The approach taken in this study has demonstrated that the key features for read-across domain are based around the chemistry, </w:t>
      </w:r>
      <w:proofErr w:type="spellStart"/>
      <w:r w:rsidR="007F0D05">
        <w:t>toxicodynamics</w:t>
      </w:r>
      <w:proofErr w:type="spellEnd"/>
      <w:r w:rsidR="007F0D05">
        <w:t xml:space="preserve"> and </w:t>
      </w:r>
      <w:proofErr w:type="spellStart"/>
      <w:r w:rsidR="007F0D05">
        <w:t>toxicokinetics</w:t>
      </w:r>
      <w:proofErr w:type="spellEnd"/>
      <w:r w:rsidR="007F0D05">
        <w:t xml:space="preserve">. These features can be characterised by a variety of </w:t>
      </w:r>
      <w:r w:rsidR="003702B0">
        <w:t>information,</w:t>
      </w:r>
      <w:r w:rsidR="0025008F">
        <w:t xml:space="preserve"> including</w:t>
      </w:r>
      <w:r w:rsidR="003702B0">
        <w:t xml:space="preserve"> </w:t>
      </w:r>
      <w:r w:rsidR="003702B0" w:rsidRPr="00A332D1">
        <w:rPr>
          <w:i/>
        </w:rPr>
        <w:t>in silico</w:t>
      </w:r>
      <w:r w:rsidR="003702B0">
        <w:t xml:space="preserve"> predictions and experimental measurements. The </w:t>
      </w:r>
      <w:r w:rsidR="00B11C55">
        <w:t xml:space="preserve">approach </w:t>
      </w:r>
      <w:r w:rsidR="003702B0">
        <w:t xml:space="preserve">provides an opportunity to </w:t>
      </w:r>
      <w:r w:rsidR="00B3297E">
        <w:t xml:space="preserve">undergo a problem formulation phase before assessing analogues to define suitable information to be compiled as well as acceptable boundaries for quantitative values. </w:t>
      </w:r>
      <w:r w:rsidR="008D6693">
        <w:t xml:space="preserve">This approach brings in </w:t>
      </w:r>
      <w:r w:rsidR="0025008F">
        <w:t xml:space="preserve">the </w:t>
      </w:r>
      <w:r w:rsidR="008D6693">
        <w:t>open question</w:t>
      </w:r>
      <w:r w:rsidR="0025008F">
        <w:t xml:space="preserve"> of</w:t>
      </w:r>
      <w:r w:rsidR="008D6693">
        <w:t xml:space="preserve"> what is meant by similarity and what will be considered acceptable. It gives an opportunity to derive acceptability criteria that are appropriate for both the endpoint and chemistry being considered. </w:t>
      </w:r>
      <w:r w:rsidR="00A4543C">
        <w:t xml:space="preserve">In addition to the consideration of </w:t>
      </w:r>
      <w:r w:rsidR="00EC4435">
        <w:t xml:space="preserve">similarity, a key component of this approach is to consider the dissimilarity of analogues and categories alike, and whether any differences may bring </w:t>
      </w:r>
      <w:r w:rsidR="00421D61">
        <w:t>uncertainty into the assessment.</w:t>
      </w:r>
    </w:p>
    <w:p w14:paraId="45930DF2" w14:textId="77777777" w:rsidR="00AB5786" w:rsidRDefault="00AB5786" w:rsidP="005B7121">
      <w:pPr>
        <w:spacing w:after="120" w:line="480" w:lineRule="auto"/>
        <w:jc w:val="both"/>
      </w:pPr>
    </w:p>
    <w:p w14:paraId="62DD1C84" w14:textId="77777777" w:rsidR="00F015D1" w:rsidRPr="00D00A8E" w:rsidRDefault="00F015D1" w:rsidP="005B7121">
      <w:pPr>
        <w:pStyle w:val="EndNoteBibliography"/>
        <w:spacing w:after="120" w:line="480" w:lineRule="auto"/>
        <w:ind w:left="720" w:hanging="720"/>
        <w:rPr>
          <w:rFonts w:asciiTheme="minorHAnsi" w:hAnsiTheme="minorHAnsi" w:cstheme="minorHAnsi"/>
          <w:b/>
          <w:bCs/>
          <w:sz w:val="24"/>
          <w:szCs w:val="24"/>
          <w:lang w:val="en-GB"/>
        </w:rPr>
      </w:pPr>
      <w:r w:rsidRPr="00D00A8E">
        <w:rPr>
          <w:rFonts w:asciiTheme="minorHAnsi" w:hAnsiTheme="minorHAnsi" w:cstheme="minorHAnsi"/>
          <w:b/>
          <w:bCs/>
          <w:sz w:val="24"/>
          <w:szCs w:val="24"/>
          <w:lang w:val="en-GB"/>
        </w:rPr>
        <w:t>Declaration of Interest</w:t>
      </w:r>
    </w:p>
    <w:p w14:paraId="579BE47F" w14:textId="77777777" w:rsidR="00F015D1" w:rsidRPr="00D00A8E" w:rsidRDefault="00F015D1" w:rsidP="005B7121">
      <w:pPr>
        <w:spacing w:after="120" w:line="480" w:lineRule="auto"/>
        <w:jc w:val="both"/>
        <w:rPr>
          <w:rFonts w:cstheme="minorHAnsi"/>
        </w:rPr>
      </w:pPr>
      <w:r w:rsidRPr="00D00A8E">
        <w:rPr>
          <w:rFonts w:cstheme="minorHAnsi"/>
        </w:rPr>
        <w:t>The authors declare no conflicts of interest.</w:t>
      </w:r>
    </w:p>
    <w:p w14:paraId="1299AF3C" w14:textId="786440FD" w:rsidR="00F015D1" w:rsidRDefault="00F015D1" w:rsidP="005B7121">
      <w:pPr>
        <w:spacing w:after="120" w:line="480" w:lineRule="auto"/>
        <w:jc w:val="both"/>
        <w:rPr>
          <w:rFonts w:cstheme="minorHAnsi"/>
          <w:b/>
          <w:bCs/>
          <w:sz w:val="24"/>
          <w:szCs w:val="24"/>
        </w:rPr>
      </w:pPr>
    </w:p>
    <w:p w14:paraId="391E2C70" w14:textId="77777777" w:rsidR="005851E8" w:rsidRPr="00D00A8E" w:rsidRDefault="005851E8" w:rsidP="005B7121">
      <w:pPr>
        <w:spacing w:after="120" w:line="480" w:lineRule="auto"/>
        <w:jc w:val="both"/>
        <w:rPr>
          <w:rFonts w:cstheme="minorHAnsi"/>
          <w:b/>
          <w:bCs/>
          <w:sz w:val="24"/>
          <w:szCs w:val="24"/>
        </w:rPr>
      </w:pPr>
    </w:p>
    <w:p w14:paraId="3C1719B2" w14:textId="77777777" w:rsidR="0059107F" w:rsidRDefault="00F015D1" w:rsidP="005B7121">
      <w:pPr>
        <w:spacing w:after="120" w:line="480" w:lineRule="auto"/>
        <w:jc w:val="both"/>
        <w:rPr>
          <w:rFonts w:cstheme="minorHAnsi"/>
          <w:b/>
          <w:bCs/>
          <w:sz w:val="24"/>
          <w:szCs w:val="24"/>
        </w:rPr>
      </w:pPr>
      <w:r w:rsidRPr="00D00A8E">
        <w:rPr>
          <w:rFonts w:cstheme="minorHAnsi"/>
          <w:b/>
          <w:bCs/>
          <w:sz w:val="24"/>
          <w:szCs w:val="24"/>
        </w:rPr>
        <w:t>References</w:t>
      </w:r>
    </w:p>
    <w:p w14:paraId="1702E97D" w14:textId="77777777" w:rsidR="00B540FF" w:rsidRDefault="00B540FF" w:rsidP="005B7121">
      <w:pPr>
        <w:spacing w:after="120" w:line="480" w:lineRule="auto"/>
        <w:jc w:val="both"/>
      </w:pPr>
      <w:bookmarkStart w:id="8" w:name="_Hlk94262341"/>
      <w:r>
        <w:t xml:space="preserve">[1] Madden JC, Enoch SJ, Paini A, Cronin MTD (2020) A review of </w:t>
      </w:r>
      <w:r>
        <w:rPr>
          <w:i/>
          <w:iCs/>
        </w:rPr>
        <w:t>in silico</w:t>
      </w:r>
      <w:r>
        <w:t xml:space="preserve"> tools as alternatives to animal testing: Principles, resources and applications. </w:t>
      </w:r>
      <w:r>
        <w:rPr>
          <w:i/>
          <w:iCs/>
        </w:rPr>
        <w:t>Alt. Lab. Anim. (ATLA)</w:t>
      </w:r>
      <w:r>
        <w:t xml:space="preserve"> 48: 146-172.</w:t>
      </w:r>
    </w:p>
    <w:p w14:paraId="65C41B27" w14:textId="77777777" w:rsidR="00B540FF" w:rsidRDefault="00B540FF" w:rsidP="005B7121">
      <w:pPr>
        <w:spacing w:after="120" w:line="480" w:lineRule="auto"/>
        <w:jc w:val="both"/>
      </w:pPr>
      <w:r>
        <w:t xml:space="preserve">[2] Schultz TW, Cronin MTD (2017) Lessons learned from read-across case studies for repeated-dose toxicity. </w:t>
      </w:r>
      <w:proofErr w:type="spellStart"/>
      <w:r>
        <w:rPr>
          <w:i/>
          <w:iCs/>
        </w:rPr>
        <w:t>Regulat</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rPr>
          <w:i/>
          <w:iCs/>
        </w:rPr>
        <w:t>.</w:t>
      </w:r>
      <w:r>
        <w:t xml:space="preserve"> 88: 185-191.</w:t>
      </w:r>
    </w:p>
    <w:p w14:paraId="2F529098" w14:textId="77777777" w:rsidR="00B540FF" w:rsidRDefault="00B540FF" w:rsidP="005B7121">
      <w:pPr>
        <w:spacing w:after="120" w:line="480" w:lineRule="auto"/>
        <w:jc w:val="both"/>
      </w:pPr>
      <w:r>
        <w:t xml:space="preserve">[3] European Chemicals Agency (ECHA) (2017) </w:t>
      </w:r>
      <w:r>
        <w:rPr>
          <w:i/>
          <w:iCs/>
        </w:rPr>
        <w:t>Read-Across Assessment Framework</w:t>
      </w:r>
      <w:r>
        <w:t xml:space="preserve"> (RAAF). ECHA-17-R-01-EN, ISBN 978-92-9495-758-0.     </w:t>
      </w:r>
    </w:p>
    <w:p w14:paraId="0D81E081" w14:textId="77777777" w:rsidR="00B540FF" w:rsidRDefault="00B540FF" w:rsidP="005B7121">
      <w:pPr>
        <w:spacing w:after="120" w:line="480" w:lineRule="auto"/>
        <w:jc w:val="both"/>
      </w:pPr>
      <w:r>
        <w:t xml:space="preserve">[4] Suter GW, Lizarraga LE (2022) Clearly weighing the evidence in read-across can improve assessments of data-poor chemicals. </w:t>
      </w:r>
      <w:proofErr w:type="spellStart"/>
      <w:r>
        <w:rPr>
          <w:i/>
        </w:rPr>
        <w:t>Regul</w:t>
      </w:r>
      <w:proofErr w:type="spellEnd"/>
      <w:r>
        <w:rPr>
          <w:i/>
        </w:rPr>
        <w:t xml:space="preserve">. </w:t>
      </w:r>
      <w:proofErr w:type="spellStart"/>
      <w:r>
        <w:rPr>
          <w:i/>
        </w:rPr>
        <w:t>Toxicol</w:t>
      </w:r>
      <w:proofErr w:type="spellEnd"/>
      <w:r>
        <w:rPr>
          <w:i/>
        </w:rPr>
        <w:t xml:space="preserve">. </w:t>
      </w:r>
      <w:proofErr w:type="spellStart"/>
      <w:r>
        <w:rPr>
          <w:i/>
        </w:rPr>
        <w:t>Pharmacol</w:t>
      </w:r>
      <w:proofErr w:type="spellEnd"/>
      <w:r>
        <w:t>. 129: 105111.</w:t>
      </w:r>
    </w:p>
    <w:p w14:paraId="4A8E5AB4" w14:textId="77777777" w:rsidR="00B540FF" w:rsidRDefault="00B540FF" w:rsidP="005B7121">
      <w:pPr>
        <w:spacing w:after="120" w:line="480" w:lineRule="auto"/>
        <w:jc w:val="both"/>
      </w:pPr>
      <w:r>
        <w:t xml:space="preserve">[5] Schultz TW, </w:t>
      </w:r>
      <w:proofErr w:type="spellStart"/>
      <w:r>
        <w:t>Richarz</w:t>
      </w:r>
      <w:proofErr w:type="spellEnd"/>
      <w:r>
        <w:t xml:space="preserve"> A-N, Cronin MTD (2019) Assessing uncertainty in read-across: Questions to evaluate toxicity predictions based on knowledge gained from case studies. </w:t>
      </w:r>
      <w:proofErr w:type="spellStart"/>
      <w:r>
        <w:rPr>
          <w:i/>
        </w:rPr>
        <w:t>Comput</w:t>
      </w:r>
      <w:proofErr w:type="spellEnd"/>
      <w:r>
        <w:rPr>
          <w:i/>
        </w:rPr>
        <w:t xml:space="preserve">. </w:t>
      </w:r>
      <w:proofErr w:type="spellStart"/>
      <w:r>
        <w:rPr>
          <w:i/>
        </w:rPr>
        <w:t>Toxicol</w:t>
      </w:r>
      <w:proofErr w:type="spellEnd"/>
      <w:r>
        <w:t xml:space="preserve">. 9: 1-11.     </w:t>
      </w:r>
    </w:p>
    <w:p w14:paraId="523A7AD0" w14:textId="77777777" w:rsidR="00B540FF" w:rsidRDefault="00B540FF" w:rsidP="005B7121">
      <w:pPr>
        <w:spacing w:after="120" w:line="480" w:lineRule="auto"/>
        <w:jc w:val="both"/>
      </w:pPr>
      <w:r>
        <w:t xml:space="preserve">[6] Rovida C, Barton-Maclaren T, Benfenati E, </w:t>
      </w:r>
      <w:proofErr w:type="spellStart"/>
      <w:r>
        <w:t>Caloni</w:t>
      </w:r>
      <w:proofErr w:type="spellEnd"/>
      <w:r>
        <w:t xml:space="preserve"> F, </w:t>
      </w:r>
      <w:proofErr w:type="spellStart"/>
      <w:r>
        <w:t>Chandrasekera</w:t>
      </w:r>
      <w:proofErr w:type="spellEnd"/>
      <w:r>
        <w:t xml:space="preserve"> PC, </w:t>
      </w:r>
      <w:proofErr w:type="spellStart"/>
      <w:r>
        <w:t>Chesne</w:t>
      </w:r>
      <w:proofErr w:type="spellEnd"/>
      <w:r>
        <w:t xml:space="preserve"> C, Cronin MTD, De Knecht Joop, Dietrich DR, Escher SE, Fitzpatrick S, Flannery B, Herzler M, </w:t>
      </w:r>
      <w:proofErr w:type="spellStart"/>
      <w:r>
        <w:t>Bennekou</w:t>
      </w:r>
      <w:proofErr w:type="spellEnd"/>
      <w:r>
        <w:t xml:space="preserve"> </w:t>
      </w:r>
      <w:proofErr w:type="spellStart"/>
      <w:r>
        <w:t>Hougaard</w:t>
      </w:r>
      <w:proofErr w:type="spellEnd"/>
      <w:r>
        <w:t xml:space="preserve"> S, Hubesch B, Kamp H, </w:t>
      </w:r>
      <w:proofErr w:type="spellStart"/>
      <w:r>
        <w:t>Kisitu</w:t>
      </w:r>
      <w:proofErr w:type="spellEnd"/>
      <w:r>
        <w:t xml:space="preserve"> J, Kleinstreuer N, Kovarich S, Leist M, </w:t>
      </w:r>
      <w:proofErr w:type="spellStart"/>
      <w:r>
        <w:t>Maertens</w:t>
      </w:r>
      <w:proofErr w:type="spellEnd"/>
      <w:r>
        <w:t xml:space="preserve"> A, Nugent K, Pallocca G, Pastor M, Patlewicz G, Pavan M, </w:t>
      </w:r>
      <w:proofErr w:type="spellStart"/>
      <w:r>
        <w:t>Presgrave</w:t>
      </w:r>
      <w:proofErr w:type="spellEnd"/>
      <w:r>
        <w:t xml:space="preserve"> O, Smirnova L, Schwarz M, Yamada T, Hartung T (2020) Internationalization of read-across as a validated New Approach Method (NAM) for regulatory toxicology. </w:t>
      </w:r>
      <w:r>
        <w:rPr>
          <w:i/>
          <w:iCs/>
        </w:rPr>
        <w:t>ALTEX</w:t>
      </w:r>
      <w:r>
        <w:t xml:space="preserve"> 37: 579-606.       </w:t>
      </w:r>
    </w:p>
    <w:p w14:paraId="28866C15" w14:textId="77777777" w:rsidR="00B540FF" w:rsidRDefault="00B540FF" w:rsidP="005B7121">
      <w:pPr>
        <w:spacing w:after="120" w:line="480" w:lineRule="auto"/>
        <w:jc w:val="both"/>
      </w:pPr>
      <w:r>
        <w:t xml:space="preserve">[7] Netzeva TI, Worth A, </w:t>
      </w:r>
      <w:proofErr w:type="spellStart"/>
      <w:r>
        <w:t>Aldenberg</w:t>
      </w:r>
      <w:proofErr w:type="spellEnd"/>
      <w:r>
        <w:t xml:space="preserve"> T, Benigni R, Cronin MT, </w:t>
      </w:r>
      <w:proofErr w:type="spellStart"/>
      <w:r>
        <w:t>Gramatica</w:t>
      </w:r>
      <w:proofErr w:type="spellEnd"/>
      <w:r>
        <w:t xml:space="preserve"> P, </w:t>
      </w:r>
      <w:proofErr w:type="spellStart"/>
      <w:r>
        <w:t>Jaworska</w:t>
      </w:r>
      <w:proofErr w:type="spellEnd"/>
      <w:r>
        <w:t xml:space="preserve"> JS, Kahn S, </w:t>
      </w:r>
      <w:proofErr w:type="spellStart"/>
      <w:r>
        <w:t>Klopman</w:t>
      </w:r>
      <w:proofErr w:type="spellEnd"/>
      <w:r>
        <w:t xml:space="preserve"> G, Marchant CA, Myatt G, </w:t>
      </w:r>
      <w:proofErr w:type="spellStart"/>
      <w:r>
        <w:t>Nikolova-Jeliazkova</w:t>
      </w:r>
      <w:proofErr w:type="spellEnd"/>
      <w:r>
        <w:t xml:space="preserve"> N, Patlewicz GY, Perkins R, Roberts D, Schultz T, Stanton DW, van de </w:t>
      </w:r>
      <w:proofErr w:type="spellStart"/>
      <w:r>
        <w:t>Sandt</w:t>
      </w:r>
      <w:proofErr w:type="spellEnd"/>
      <w:r>
        <w:t xml:space="preserve"> JJ, Tong W, </w:t>
      </w:r>
      <w:proofErr w:type="spellStart"/>
      <w:r>
        <w:t>Veith</w:t>
      </w:r>
      <w:proofErr w:type="spellEnd"/>
      <w:r>
        <w:t xml:space="preserve"> G, Yang C (2005). Current status of methods for defining the applicability domain of (quantitative) structure-activity relationships. The report and recommendations of ECVAM Workshop 52. </w:t>
      </w:r>
      <w:r>
        <w:rPr>
          <w:i/>
          <w:iCs/>
        </w:rPr>
        <w:t xml:space="preserve">Alt. Lab. Anim. (ATLA) </w:t>
      </w:r>
      <w:r>
        <w:t xml:space="preserve">33: 155-173. </w:t>
      </w:r>
    </w:p>
    <w:p w14:paraId="47ED3865" w14:textId="77777777" w:rsidR="00B540FF" w:rsidRDefault="00B540FF" w:rsidP="005B7121">
      <w:pPr>
        <w:spacing w:after="120" w:line="480" w:lineRule="auto"/>
        <w:jc w:val="both"/>
      </w:pPr>
      <w:r>
        <w:t xml:space="preserve">[8] OECD (Organisation for Economic Cooperation and Development), 2007. Guidance Document on the Validation of (Quantitative) Structure-Activity Relationships. ENV/JM/MONO(2007)2.  OECD, Paris, pp. 154.      </w:t>
      </w:r>
    </w:p>
    <w:p w14:paraId="72996191" w14:textId="77777777" w:rsidR="00B540FF" w:rsidRDefault="00B540FF" w:rsidP="005B7121">
      <w:pPr>
        <w:spacing w:after="120" w:line="480" w:lineRule="auto"/>
        <w:jc w:val="both"/>
      </w:pPr>
      <w:r>
        <w:t xml:space="preserve">[9] Dimitrov S, Dimitrova G, Pavlov T, Dimitrova N, Patlewicz G, Niemela J, Mekenyan O (2005) A stepwise approach for defining the applicability domain of SAR and QSAR models. </w:t>
      </w:r>
      <w:r>
        <w:rPr>
          <w:i/>
          <w:iCs/>
        </w:rPr>
        <w:t>J. Chem. Inf. Model</w:t>
      </w:r>
      <w:r>
        <w:t xml:space="preserve">. 45: 839-849. </w:t>
      </w:r>
    </w:p>
    <w:p w14:paraId="0140E094" w14:textId="77777777" w:rsidR="00B540FF" w:rsidRDefault="00B540FF" w:rsidP="005B7121">
      <w:pPr>
        <w:spacing w:after="120" w:line="480" w:lineRule="auto"/>
        <w:jc w:val="both"/>
      </w:pPr>
      <w:r>
        <w:t xml:space="preserve">[10] Blackburn K, Stuard SB (2014). A framework to facilitate consistent characterization of read across uncertainty. </w:t>
      </w:r>
      <w:proofErr w:type="spellStart"/>
      <w:r>
        <w:rPr>
          <w:i/>
        </w:rPr>
        <w:t>Regul</w:t>
      </w:r>
      <w:proofErr w:type="spellEnd"/>
      <w:r>
        <w:rPr>
          <w:i/>
        </w:rPr>
        <w:t xml:space="preserve"> </w:t>
      </w:r>
      <w:proofErr w:type="spellStart"/>
      <w:r>
        <w:rPr>
          <w:i/>
        </w:rPr>
        <w:t>Toxicol</w:t>
      </w:r>
      <w:proofErr w:type="spellEnd"/>
      <w:r>
        <w:rPr>
          <w:i/>
        </w:rPr>
        <w:t xml:space="preserve"> </w:t>
      </w:r>
      <w:proofErr w:type="spellStart"/>
      <w:r>
        <w:rPr>
          <w:i/>
        </w:rPr>
        <w:t>Pharmacol</w:t>
      </w:r>
      <w:proofErr w:type="spellEnd"/>
      <w:r>
        <w:rPr>
          <w:i/>
        </w:rPr>
        <w:t>.</w:t>
      </w:r>
      <w:r>
        <w:t xml:space="preserve"> 68: 353-362.</w:t>
      </w:r>
    </w:p>
    <w:p w14:paraId="30F44CA2" w14:textId="77777777" w:rsidR="00B540FF" w:rsidRDefault="00B540FF" w:rsidP="005B7121">
      <w:pPr>
        <w:spacing w:after="120" w:line="480" w:lineRule="auto"/>
        <w:jc w:val="both"/>
      </w:pPr>
      <w:r>
        <w:t xml:space="preserve">[11] Escher SE, Kamp H, </w:t>
      </w:r>
      <w:proofErr w:type="spellStart"/>
      <w:r>
        <w:t>Bennekou</w:t>
      </w:r>
      <w:proofErr w:type="spellEnd"/>
      <w:r>
        <w:t xml:space="preserve"> SH, </w:t>
      </w:r>
      <w:proofErr w:type="spellStart"/>
      <w:r>
        <w:t>Bitsch</w:t>
      </w:r>
      <w:proofErr w:type="spellEnd"/>
      <w:r>
        <w:t xml:space="preserve"> A, Fisher C, Graepel R, Hengstler JG, Herzler M, Knight D, Leist M, Norinder U, Ouedraogo G, Pastor M, Stuard S, White A, </w:t>
      </w:r>
      <w:proofErr w:type="spellStart"/>
      <w:r>
        <w:t>Zdrazil</w:t>
      </w:r>
      <w:proofErr w:type="spellEnd"/>
      <w:r>
        <w:t xml:space="preserve"> B, van de Water B, Kroese D (2019) Towards grouping concepts based on new approach methodologies in chemical hazard assessment: the read-across approach of the EU-</w:t>
      </w:r>
      <w:proofErr w:type="spellStart"/>
      <w:r>
        <w:t>ToxRisk</w:t>
      </w:r>
      <w:proofErr w:type="spellEnd"/>
      <w:r>
        <w:t xml:space="preserve"> project. </w:t>
      </w:r>
      <w:r>
        <w:rPr>
          <w:i/>
          <w:iCs/>
        </w:rPr>
        <w:t xml:space="preserve">Arch. </w:t>
      </w:r>
      <w:proofErr w:type="spellStart"/>
      <w:r>
        <w:rPr>
          <w:i/>
          <w:iCs/>
        </w:rPr>
        <w:t>Toxicol</w:t>
      </w:r>
      <w:proofErr w:type="spellEnd"/>
      <w:r>
        <w:rPr>
          <w:i/>
          <w:iCs/>
        </w:rPr>
        <w:t xml:space="preserve">. </w:t>
      </w:r>
      <w:r>
        <w:t>93: 3643-3667.</w:t>
      </w:r>
    </w:p>
    <w:p w14:paraId="272CA58A" w14:textId="77777777" w:rsidR="00B540FF" w:rsidRDefault="00B540FF" w:rsidP="005B7121">
      <w:pPr>
        <w:spacing w:after="120" w:line="480" w:lineRule="auto"/>
        <w:jc w:val="both"/>
      </w:pPr>
      <w:r>
        <w:t xml:space="preserve">[12] Schultz TW, </w:t>
      </w:r>
      <w:proofErr w:type="spellStart"/>
      <w:r>
        <w:t>Amcoff</w:t>
      </w:r>
      <w:proofErr w:type="spellEnd"/>
      <w:r>
        <w:t xml:space="preserve"> P, Berggren E, Gautier F, Klaric M, Knight DJ, Mahony C, Schwarz M, White A, Cronin MTD (2015) A strategy for structuring and reporting a read-across prediction of toxicity.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xml:space="preserve">. 72: 586–601.     </w:t>
      </w:r>
    </w:p>
    <w:p w14:paraId="76D7776F" w14:textId="77777777" w:rsidR="00B540FF" w:rsidRDefault="00B540FF" w:rsidP="005B7121">
      <w:pPr>
        <w:spacing w:after="120" w:line="480" w:lineRule="auto"/>
        <w:jc w:val="both"/>
      </w:pPr>
      <w:r>
        <w:t xml:space="preserve">[13] Worth AP (2010) The role of QSAR methodology in the regulatory assessment of chemicals. In Puzyn T, </w:t>
      </w:r>
      <w:proofErr w:type="spellStart"/>
      <w:r>
        <w:t>Lesczynski</w:t>
      </w:r>
      <w:proofErr w:type="spellEnd"/>
      <w:r>
        <w:t xml:space="preserve"> J, Cronin MTD (Eds.) </w:t>
      </w:r>
      <w:r>
        <w:rPr>
          <w:i/>
          <w:iCs/>
        </w:rPr>
        <w:t>Recent Advances in QSAR Studies: Methods and Applications</w:t>
      </w:r>
      <w:r>
        <w:t>. Springer, Dordrecht, The Netherlands, pp. 367-382.</w:t>
      </w:r>
    </w:p>
    <w:p w14:paraId="430DCCC8" w14:textId="77777777" w:rsidR="00B540FF" w:rsidRDefault="00B540FF" w:rsidP="005B7121">
      <w:pPr>
        <w:spacing w:after="120" w:line="480" w:lineRule="auto"/>
        <w:jc w:val="both"/>
      </w:pPr>
      <w:r>
        <w:t xml:space="preserve">[14] Pestana CB, Firman, JW, Cronin MTD (2021) Incorporating lines of evidence from New Approach Methodologies (NAMs) to reduce uncertainties in a category based read-across: A case study for repeated dose toxicity. </w:t>
      </w:r>
      <w:proofErr w:type="spellStart"/>
      <w:r>
        <w:rPr>
          <w:i/>
          <w:iCs/>
        </w:rPr>
        <w:t>Regulat</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120: 104855.</w:t>
      </w:r>
    </w:p>
    <w:p w14:paraId="0375E2A9" w14:textId="77777777" w:rsidR="00B540FF" w:rsidRDefault="00B540FF" w:rsidP="005B7121">
      <w:pPr>
        <w:spacing w:after="120" w:line="480" w:lineRule="auto"/>
        <w:jc w:val="both"/>
      </w:pPr>
      <w:r>
        <w:t xml:space="preserve">[15] Nakagawa S, Okamoto M, Yoshihara K, </w:t>
      </w:r>
      <w:proofErr w:type="spellStart"/>
      <w:r>
        <w:t>Nukada</w:t>
      </w:r>
      <w:proofErr w:type="spellEnd"/>
      <w:r>
        <w:t xml:space="preserve"> Y, Morita O (2021) Grouping of chemicals based on the potential mechanisms of hepatotoxicity of naphthalene and structurally similar chemicals using in vitro testing for read-across and its validation.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121: 104874.</w:t>
      </w:r>
    </w:p>
    <w:p w14:paraId="5C85243E" w14:textId="77777777" w:rsidR="00B540FF" w:rsidRDefault="00B540FF" w:rsidP="005B7121">
      <w:pPr>
        <w:spacing w:after="120" w:line="480" w:lineRule="auto"/>
        <w:jc w:val="both"/>
      </w:pPr>
      <w:r>
        <w:t xml:space="preserve">[16] Escher SE, Aguayo-Orozco A, Benfenati E, </w:t>
      </w:r>
      <w:proofErr w:type="spellStart"/>
      <w:r>
        <w:t>Bitsch</w:t>
      </w:r>
      <w:proofErr w:type="spellEnd"/>
      <w:r>
        <w:t xml:space="preserve"> A, </w:t>
      </w:r>
      <w:proofErr w:type="spellStart"/>
      <w:r>
        <w:t>Braunbeck</w:t>
      </w:r>
      <w:proofErr w:type="spellEnd"/>
      <w:r>
        <w:t xml:space="preserve"> T, </w:t>
      </w:r>
      <w:proofErr w:type="spellStart"/>
      <w:r>
        <w:t>Brotzmann</w:t>
      </w:r>
      <w:proofErr w:type="spellEnd"/>
      <w:r>
        <w:t xml:space="preserve"> K, Bois F, van der Burg B, Castel J, Exner T, Gadaleta D, Gardner I, </w:t>
      </w:r>
      <w:proofErr w:type="spellStart"/>
      <w:r>
        <w:t>Goldmann</w:t>
      </w:r>
      <w:proofErr w:type="spellEnd"/>
      <w:r>
        <w:t xml:space="preserve"> D, Hatley O, Golbamaki N, Graepel R, Jennings P, </w:t>
      </w:r>
      <w:proofErr w:type="spellStart"/>
      <w:r>
        <w:t>Limonciel</w:t>
      </w:r>
      <w:proofErr w:type="spellEnd"/>
      <w:r>
        <w:t xml:space="preserve"> A, Long A, </w:t>
      </w:r>
      <w:proofErr w:type="spellStart"/>
      <w:r>
        <w:t>Maclennan</w:t>
      </w:r>
      <w:proofErr w:type="spellEnd"/>
      <w:r>
        <w:t xml:space="preserve"> R, Mombelli E, Norinder U, Jain S, Santos </w:t>
      </w:r>
      <w:proofErr w:type="spellStart"/>
      <w:r>
        <w:t>Capinha</w:t>
      </w:r>
      <w:proofErr w:type="spellEnd"/>
      <w:r>
        <w:t xml:space="preserve"> L, Taboureau OT, </w:t>
      </w:r>
      <w:proofErr w:type="spellStart"/>
      <w:r>
        <w:t>Tolosa</w:t>
      </w:r>
      <w:proofErr w:type="spellEnd"/>
      <w:r>
        <w:t xml:space="preserve"> L, </w:t>
      </w:r>
      <w:proofErr w:type="spellStart"/>
      <w:r>
        <w:t>Vrijenhoek</w:t>
      </w:r>
      <w:proofErr w:type="spellEnd"/>
      <w:r>
        <w:t xml:space="preserve"> NG, van </w:t>
      </w:r>
      <w:proofErr w:type="spellStart"/>
      <w:r>
        <w:t>Vugt-Lussenburg</w:t>
      </w:r>
      <w:proofErr w:type="spellEnd"/>
      <w:r>
        <w:t xml:space="preserve"> BMA, Walker P, van de Water B, Wehr M, White A, </w:t>
      </w:r>
      <w:proofErr w:type="spellStart"/>
      <w:r>
        <w:t>Zdrazil</w:t>
      </w:r>
      <w:proofErr w:type="spellEnd"/>
      <w:r>
        <w:t xml:space="preserve"> B, Fisher C (2022) Integrate mechanistic evidence from new approach methodologies (NAMs) into a read-across assessment to characterise trends in shared mode of action. </w:t>
      </w:r>
      <w:proofErr w:type="spellStart"/>
      <w:r>
        <w:rPr>
          <w:i/>
          <w:iCs/>
        </w:rPr>
        <w:t>Toxicol</w:t>
      </w:r>
      <w:proofErr w:type="spellEnd"/>
      <w:r>
        <w:rPr>
          <w:i/>
          <w:iCs/>
        </w:rPr>
        <w:t xml:space="preserve">. in Vitro </w:t>
      </w:r>
      <w:r>
        <w:t>79: 105269.</w:t>
      </w:r>
    </w:p>
    <w:p w14:paraId="7ACC36DC" w14:textId="77777777" w:rsidR="00B540FF" w:rsidRDefault="00B540FF" w:rsidP="005B7121">
      <w:pPr>
        <w:spacing w:after="120" w:line="480" w:lineRule="auto"/>
        <w:jc w:val="both"/>
      </w:pPr>
      <w:r>
        <w:t xml:space="preserve">[17] Laroche C, Aggarwal M, Bender H, </w:t>
      </w:r>
      <w:proofErr w:type="spellStart"/>
      <w:r>
        <w:t>Benndorf</w:t>
      </w:r>
      <w:proofErr w:type="spellEnd"/>
      <w:r>
        <w:t xml:space="preserve"> P, Birke B, Crozier J, Dal Negro G, De Gaetano F, </w:t>
      </w:r>
      <w:proofErr w:type="spellStart"/>
      <w:r>
        <w:t>Desaintes</w:t>
      </w:r>
      <w:proofErr w:type="spellEnd"/>
      <w:r>
        <w:t xml:space="preserve"> C, Gardner I, Hubesch B, </w:t>
      </w:r>
      <w:proofErr w:type="spellStart"/>
      <w:r>
        <w:t>Irizar</w:t>
      </w:r>
      <w:proofErr w:type="spellEnd"/>
      <w:r>
        <w:t xml:space="preserve"> A, John D, Kumar V, </w:t>
      </w:r>
      <w:proofErr w:type="spellStart"/>
      <w:r>
        <w:t>Lostia</w:t>
      </w:r>
      <w:proofErr w:type="spellEnd"/>
      <w:r>
        <w:t xml:space="preserve"> A, </w:t>
      </w:r>
      <w:proofErr w:type="spellStart"/>
      <w:r>
        <w:t>Manou</w:t>
      </w:r>
      <w:proofErr w:type="spellEnd"/>
      <w:r>
        <w:t xml:space="preserve"> I, </w:t>
      </w:r>
      <w:proofErr w:type="spellStart"/>
      <w:r>
        <w:t>Monshouwer</w:t>
      </w:r>
      <w:proofErr w:type="spellEnd"/>
      <w:r>
        <w:t xml:space="preserve"> M, Müller BP, Paini A, Reid K, Rowan T, </w:t>
      </w:r>
      <w:proofErr w:type="spellStart"/>
      <w:r>
        <w:t>Sachana</w:t>
      </w:r>
      <w:proofErr w:type="spellEnd"/>
      <w:r>
        <w:t xml:space="preserve"> M, Schutte M, Stirling C, Taalman R, van </w:t>
      </w:r>
      <w:proofErr w:type="spellStart"/>
      <w:r>
        <w:t>Aerts</w:t>
      </w:r>
      <w:proofErr w:type="spellEnd"/>
      <w:r>
        <w:t xml:space="preserve"> L, </w:t>
      </w:r>
      <w:proofErr w:type="spellStart"/>
      <w:r>
        <w:t>Weissenhorn</w:t>
      </w:r>
      <w:proofErr w:type="spellEnd"/>
      <w:r>
        <w:t xml:space="preserve"> R, Sauer UG (2018) Finding synergies for 3Rs – </w:t>
      </w:r>
      <w:proofErr w:type="spellStart"/>
      <w:r>
        <w:t>Toxicokinetics</w:t>
      </w:r>
      <w:proofErr w:type="spellEnd"/>
      <w:r>
        <w:t xml:space="preserve"> and read-across: Report from an EPAA partners’ Forum. </w:t>
      </w:r>
      <w:r>
        <w:rPr>
          <w:i/>
          <w:iCs/>
        </w:rPr>
        <w:t xml:space="preserve">Reg. Tox. Pharm. </w:t>
      </w:r>
      <w:r>
        <w:t>99: 5-21.</w:t>
      </w:r>
    </w:p>
    <w:p w14:paraId="07619C0C" w14:textId="77777777" w:rsidR="00B540FF" w:rsidRDefault="00B540FF" w:rsidP="005B7121">
      <w:pPr>
        <w:spacing w:after="120" w:line="480" w:lineRule="auto"/>
        <w:jc w:val="both"/>
      </w:pPr>
      <w:r>
        <w:t xml:space="preserve">[18] Cronin MTD, </w:t>
      </w:r>
      <w:proofErr w:type="spellStart"/>
      <w:r>
        <w:t>Richarz</w:t>
      </w:r>
      <w:proofErr w:type="spellEnd"/>
      <w:r>
        <w:t xml:space="preserve"> A-N (2017) Relationship between Adverse Outcome Pathways and chemistry-based </w:t>
      </w:r>
      <w:r>
        <w:rPr>
          <w:i/>
          <w:iCs/>
        </w:rPr>
        <w:t>in silico</w:t>
      </w:r>
      <w:r>
        <w:t xml:space="preserve"> models to predict toxicity. </w:t>
      </w:r>
      <w:r>
        <w:rPr>
          <w:i/>
          <w:iCs/>
        </w:rPr>
        <w:t xml:space="preserve">Appl. In Vitro </w:t>
      </w:r>
      <w:proofErr w:type="spellStart"/>
      <w:r>
        <w:rPr>
          <w:i/>
          <w:iCs/>
        </w:rPr>
        <w:t>Toxicol</w:t>
      </w:r>
      <w:proofErr w:type="spellEnd"/>
      <w:r>
        <w:rPr>
          <w:i/>
          <w:iCs/>
        </w:rPr>
        <w:t xml:space="preserve">. </w:t>
      </w:r>
      <w:r>
        <w:t>3: 286-297.</w:t>
      </w:r>
    </w:p>
    <w:p w14:paraId="46AC313B" w14:textId="77777777" w:rsidR="00B540FF" w:rsidRDefault="00B540FF" w:rsidP="005B7121">
      <w:pPr>
        <w:spacing w:after="120" w:line="480" w:lineRule="auto"/>
        <w:jc w:val="both"/>
        <w:rPr>
          <w:bCs/>
        </w:rPr>
      </w:pPr>
      <w:r>
        <w:rPr>
          <w:bCs/>
        </w:rPr>
        <w:t xml:space="preserve">[19] European Food Safety Authority (EFSA) (2008) Conclusion on the peer review of the pesticide risk assessment of the active substance tetraconazole. </w:t>
      </w:r>
      <w:r>
        <w:rPr>
          <w:bCs/>
          <w:i/>
          <w:iCs/>
        </w:rPr>
        <w:t>EFSA J</w:t>
      </w:r>
      <w:r>
        <w:rPr>
          <w:bCs/>
        </w:rPr>
        <w:t xml:space="preserve"> 6, 152.</w:t>
      </w:r>
    </w:p>
    <w:p w14:paraId="56E9791A" w14:textId="77777777" w:rsidR="00B540FF" w:rsidRDefault="00B540FF" w:rsidP="005B7121">
      <w:pPr>
        <w:spacing w:after="120" w:line="480" w:lineRule="auto"/>
        <w:jc w:val="both"/>
      </w:pPr>
      <w:r>
        <w:t xml:space="preserve">[20] United States Environmental Protection Agency (US EPA) (Federal Register): June 30, 1999 (Volume 64, Number 125 Available from: </w:t>
      </w:r>
      <w:hyperlink r:id="rId45" w:history="1">
        <w:r>
          <w:rPr>
            <w:rStyle w:val="Hyperlink"/>
          </w:rPr>
          <w:t>https://www.govinfo.gov/content/pkg/FR-1999-06-30/pdf/99-16545.pdf</w:t>
        </w:r>
      </w:hyperlink>
    </w:p>
    <w:p w14:paraId="55D7BE06" w14:textId="77777777" w:rsidR="00B540FF" w:rsidRDefault="00B540FF" w:rsidP="005B7121">
      <w:pPr>
        <w:spacing w:after="120" w:line="480" w:lineRule="auto"/>
        <w:jc w:val="both"/>
      </w:pPr>
      <w:r>
        <w:rPr>
          <w:bCs/>
        </w:rPr>
        <w:t>[21] Joint FAO/WHO Meeting on Pesticide Residues, (JMPR) (1998) Bitertanol. JMPR Evaluations 1998 Part II Toxicological. Available from: http://www.inchem.org/documents/jmpr/jmpmono/v098pr04.htm</w:t>
      </w:r>
    </w:p>
    <w:p w14:paraId="50A1D561" w14:textId="77777777" w:rsidR="00B540FF" w:rsidRDefault="00B540FF" w:rsidP="005B7121">
      <w:pPr>
        <w:spacing w:after="120" w:line="480" w:lineRule="auto"/>
        <w:jc w:val="both"/>
        <w:rPr>
          <w:bCs/>
        </w:rPr>
      </w:pPr>
      <w:r>
        <w:rPr>
          <w:bCs/>
        </w:rPr>
        <w:t xml:space="preserve">[22] European Food Safety Authority (EFSA), (2010) Conclusion on the peer review of the pesticide risk assessment of the active substance cyproconazole. </w:t>
      </w:r>
      <w:r>
        <w:rPr>
          <w:bCs/>
          <w:i/>
          <w:iCs/>
        </w:rPr>
        <w:t>EFSA J</w:t>
      </w:r>
      <w:r>
        <w:rPr>
          <w:bCs/>
        </w:rPr>
        <w:t xml:space="preserve"> 8, 1897.</w:t>
      </w:r>
    </w:p>
    <w:p w14:paraId="6B83C4F9" w14:textId="77777777" w:rsidR="00B540FF" w:rsidRDefault="00B540FF" w:rsidP="005B7121">
      <w:pPr>
        <w:spacing w:after="120" w:line="480" w:lineRule="auto"/>
        <w:jc w:val="both"/>
        <w:rPr>
          <w:bCs/>
        </w:rPr>
      </w:pPr>
      <w:r>
        <w:rPr>
          <w:bCs/>
        </w:rPr>
        <w:t xml:space="preserve">[23] European Food Safety Authority (EFSA) (2011) Conclusion on the peer review of the pesticide risk assessment of the active substance difenoconazole. </w:t>
      </w:r>
      <w:r>
        <w:rPr>
          <w:bCs/>
          <w:i/>
          <w:iCs/>
        </w:rPr>
        <w:t>EFSA J</w:t>
      </w:r>
      <w:r>
        <w:rPr>
          <w:bCs/>
        </w:rPr>
        <w:t xml:space="preserve"> 9, 1967.</w:t>
      </w:r>
    </w:p>
    <w:p w14:paraId="39288363" w14:textId="77777777" w:rsidR="00B540FF" w:rsidRDefault="00B540FF" w:rsidP="005B7121">
      <w:pPr>
        <w:spacing w:after="120" w:line="480" w:lineRule="auto"/>
        <w:jc w:val="both"/>
        <w:rPr>
          <w:bCs/>
        </w:rPr>
      </w:pPr>
      <w:r>
        <w:rPr>
          <w:bCs/>
        </w:rPr>
        <w:t xml:space="preserve">[24] European Food Safety Authority (EFSA) (2008) Conclusion on the peer review of the pesticide risk assessment of the active substance epoxiconazole. </w:t>
      </w:r>
      <w:r>
        <w:rPr>
          <w:bCs/>
          <w:i/>
          <w:iCs/>
        </w:rPr>
        <w:t>EFSA J</w:t>
      </w:r>
      <w:r>
        <w:rPr>
          <w:bCs/>
        </w:rPr>
        <w:t xml:space="preserve"> 6, 138.</w:t>
      </w:r>
    </w:p>
    <w:p w14:paraId="62453B6A" w14:textId="77777777" w:rsidR="00B540FF" w:rsidRDefault="00B540FF" w:rsidP="005B7121">
      <w:pPr>
        <w:spacing w:after="120" w:line="480" w:lineRule="auto"/>
        <w:jc w:val="both"/>
        <w:rPr>
          <w:bCs/>
        </w:rPr>
      </w:pPr>
      <w:r>
        <w:rPr>
          <w:bCs/>
        </w:rPr>
        <w:t xml:space="preserve">[25] European Food Safety Authority (EFSA) (2010) Conclusion on the peer review of the pesticide risk assessment of the active substance fenbuconazole. </w:t>
      </w:r>
      <w:r>
        <w:rPr>
          <w:bCs/>
          <w:i/>
          <w:iCs/>
        </w:rPr>
        <w:t>EFSA J</w:t>
      </w:r>
      <w:r>
        <w:rPr>
          <w:bCs/>
        </w:rPr>
        <w:t xml:space="preserve"> 8, 1558.</w:t>
      </w:r>
    </w:p>
    <w:p w14:paraId="1505322B" w14:textId="77777777" w:rsidR="00B540FF" w:rsidRDefault="00B540FF" w:rsidP="005B7121">
      <w:pPr>
        <w:spacing w:after="120" w:line="480" w:lineRule="auto"/>
        <w:jc w:val="both"/>
        <w:rPr>
          <w:bCs/>
          <w:lang w:val="pt-BR"/>
        </w:rPr>
      </w:pPr>
      <w:r>
        <w:rPr>
          <w:bCs/>
        </w:rPr>
        <w:t xml:space="preserve">[26] Joint FAO/WHO Meeting on Pesticide Residues, (JMPR) (2014) Report of the Joint Meeting of the FAO Panel of Experts on Pesticide Residues in Food and the Environment and the WHO Core Assessment Group on Pesticide Residues, Rome, Italy, 16-25 September 2014. </w:t>
      </w:r>
    </w:p>
    <w:p w14:paraId="03625B3D" w14:textId="77777777" w:rsidR="00B540FF" w:rsidRDefault="00B540FF" w:rsidP="005B7121">
      <w:pPr>
        <w:spacing w:after="120" w:line="480" w:lineRule="auto"/>
        <w:jc w:val="both"/>
        <w:rPr>
          <w:bCs/>
        </w:rPr>
      </w:pPr>
      <w:r>
        <w:rPr>
          <w:bCs/>
        </w:rPr>
        <w:t xml:space="preserve">[27] European Food Safety Authority (EFSA) (2010) Conclusion on the peer review of the pesticide risk assessment of the active substance paclobutrazol. </w:t>
      </w:r>
      <w:r>
        <w:rPr>
          <w:bCs/>
          <w:i/>
          <w:iCs/>
        </w:rPr>
        <w:t>EFSA J</w:t>
      </w:r>
      <w:r>
        <w:rPr>
          <w:bCs/>
        </w:rPr>
        <w:t xml:space="preserve"> 8, 1876.</w:t>
      </w:r>
    </w:p>
    <w:p w14:paraId="6F52EECD" w14:textId="77777777" w:rsidR="00B540FF" w:rsidRDefault="00B540FF" w:rsidP="005B7121">
      <w:pPr>
        <w:spacing w:after="120" w:line="480" w:lineRule="auto"/>
        <w:jc w:val="both"/>
        <w:rPr>
          <w:bCs/>
        </w:rPr>
      </w:pPr>
      <w:r>
        <w:rPr>
          <w:bCs/>
        </w:rPr>
        <w:t xml:space="preserve">[28] European Food Safety Authority (EFSA) (2008) Conclusion on the peer review of the pesticide risk assessment of the active substance penconazole. </w:t>
      </w:r>
      <w:r>
        <w:rPr>
          <w:bCs/>
          <w:i/>
          <w:iCs/>
        </w:rPr>
        <w:t>EFSA J</w:t>
      </w:r>
      <w:r>
        <w:rPr>
          <w:bCs/>
        </w:rPr>
        <w:t xml:space="preserve"> 6, 175.</w:t>
      </w:r>
    </w:p>
    <w:p w14:paraId="5BA01ECA" w14:textId="77777777" w:rsidR="00B540FF" w:rsidRDefault="00B540FF" w:rsidP="005B7121">
      <w:pPr>
        <w:spacing w:after="120" w:line="480" w:lineRule="auto"/>
        <w:jc w:val="both"/>
        <w:rPr>
          <w:bCs/>
        </w:rPr>
      </w:pPr>
      <w:r>
        <w:rPr>
          <w:bCs/>
        </w:rPr>
        <w:t xml:space="preserve">[29] European Chemicals Agency (ECHA) (2016) </w:t>
      </w:r>
      <w:r>
        <w:rPr>
          <w:bCs/>
          <w:i/>
          <w:iCs/>
        </w:rPr>
        <w:t>Committee for Risk Assessment. Opinion proposing harmonised classification and labelling at EU level of propiconazole</w:t>
      </w:r>
      <w:r>
        <w:rPr>
          <w:bCs/>
        </w:rPr>
        <w:t xml:space="preserve">. 2016, 1-51, CLH-O-0000001412-86-139/F. </w:t>
      </w:r>
    </w:p>
    <w:p w14:paraId="28CA1003" w14:textId="77777777" w:rsidR="00B540FF" w:rsidRDefault="00B540FF" w:rsidP="005B7121">
      <w:pPr>
        <w:spacing w:after="120" w:line="480" w:lineRule="auto"/>
        <w:jc w:val="both"/>
        <w:rPr>
          <w:bCs/>
        </w:rPr>
      </w:pPr>
      <w:r>
        <w:rPr>
          <w:bCs/>
        </w:rPr>
        <w:t xml:space="preserve">[30] Joint FAO/WHO Meeting on Pesticide Residues, (JMPR) (2008) </w:t>
      </w:r>
      <w:proofErr w:type="spellStart"/>
      <w:r>
        <w:t>Prothioconazole</w:t>
      </w:r>
      <w:proofErr w:type="spellEnd"/>
      <w:r>
        <w:rPr>
          <w:bCs/>
        </w:rPr>
        <w:t xml:space="preserve">. Plant Protection Paper 232. Available from:  </w:t>
      </w:r>
      <w:hyperlink r:id="rId46" w:history="1">
        <w:r>
          <w:rPr>
            <w:rStyle w:val="Hyperlink"/>
            <w:bCs/>
          </w:rPr>
          <w:t>http://www.fao.org/fileadmin/templates/agphome/documents/Pests_Pesticides/JMPR/Report08/Prothioconazole.pdf</w:t>
        </w:r>
      </w:hyperlink>
      <w:r>
        <w:rPr>
          <w:rStyle w:val="Hyperlink"/>
          <w:bCs/>
        </w:rPr>
        <w:t>.</w:t>
      </w:r>
    </w:p>
    <w:p w14:paraId="6AD51AC1" w14:textId="77777777" w:rsidR="00B540FF" w:rsidRDefault="00B540FF" w:rsidP="005B7121">
      <w:pPr>
        <w:spacing w:after="120" w:line="480" w:lineRule="auto"/>
        <w:jc w:val="both"/>
        <w:rPr>
          <w:bCs/>
        </w:rPr>
      </w:pPr>
      <w:r>
        <w:rPr>
          <w:bCs/>
        </w:rPr>
        <w:t xml:space="preserve">[31] European Food Safety Authority (EFSA) (2014) Conclusion on the peer review of the pesticide risk assessment of the active substance tebuconazole. </w:t>
      </w:r>
      <w:r>
        <w:rPr>
          <w:bCs/>
          <w:i/>
          <w:iCs/>
        </w:rPr>
        <w:t>EFSA J</w:t>
      </w:r>
      <w:r>
        <w:rPr>
          <w:bCs/>
        </w:rPr>
        <w:t xml:space="preserve"> 12, 3485.</w:t>
      </w:r>
    </w:p>
    <w:p w14:paraId="0C704BE3" w14:textId="77777777" w:rsidR="00B540FF" w:rsidRDefault="00B540FF" w:rsidP="005B7121">
      <w:pPr>
        <w:spacing w:after="120" w:line="480" w:lineRule="auto"/>
        <w:jc w:val="both"/>
        <w:rPr>
          <w:bCs/>
        </w:rPr>
      </w:pPr>
      <w:r>
        <w:rPr>
          <w:bCs/>
        </w:rPr>
        <w:t xml:space="preserve">[32] European Food Safety Authority (EFSA) (2008) Conclusion on the peer review of the pesticide risk assessment of the active substance triadimenol. </w:t>
      </w:r>
      <w:r>
        <w:rPr>
          <w:bCs/>
          <w:i/>
          <w:iCs/>
        </w:rPr>
        <w:t>EFSA J</w:t>
      </w:r>
      <w:r>
        <w:rPr>
          <w:bCs/>
        </w:rPr>
        <w:t xml:space="preserve"> 6, 177.</w:t>
      </w:r>
    </w:p>
    <w:p w14:paraId="4B1BFAFD" w14:textId="77777777" w:rsidR="00B540FF" w:rsidRDefault="00B540FF" w:rsidP="005B7121">
      <w:pPr>
        <w:spacing w:after="120" w:line="480" w:lineRule="auto"/>
        <w:jc w:val="both"/>
        <w:rPr>
          <w:bCs/>
        </w:rPr>
      </w:pPr>
      <w:r>
        <w:rPr>
          <w:bCs/>
        </w:rPr>
        <w:t xml:space="preserve">[33] Food and Agriculture Organization of the United Nations (FAO) (2011) FAO Specifications and Evaluations for Agricultural Pesticides: Triadimefon. Available from: </w:t>
      </w:r>
      <w:hyperlink r:id="rId47" w:history="1">
        <w:r>
          <w:rPr>
            <w:rStyle w:val="Hyperlink"/>
          </w:rPr>
          <w:t>http://www.fao.org/fileadmin/templates/agphome/documents/Pests_Pesticides/Specs/Triadimefon_2011.pdf</w:t>
        </w:r>
      </w:hyperlink>
      <w:r>
        <w:rPr>
          <w:rStyle w:val="Hyperlink"/>
        </w:rPr>
        <w:t>.</w:t>
      </w:r>
    </w:p>
    <w:p w14:paraId="0B78863E" w14:textId="77777777" w:rsidR="00B540FF" w:rsidRDefault="00B540FF" w:rsidP="005B7121">
      <w:pPr>
        <w:spacing w:after="120" w:line="480" w:lineRule="auto"/>
        <w:jc w:val="both"/>
        <w:rPr>
          <w:bCs/>
        </w:rPr>
      </w:pPr>
      <w:r>
        <w:rPr>
          <w:bCs/>
        </w:rPr>
        <w:t xml:space="preserve">[34] European Food Safety Authority (EFSA) (2010) Conclusion on the peer review of the pesticide risk assessment of the active substance </w:t>
      </w:r>
      <w:proofErr w:type="spellStart"/>
      <w:r>
        <w:rPr>
          <w:bCs/>
        </w:rPr>
        <w:t>imazalil</w:t>
      </w:r>
      <w:proofErr w:type="spellEnd"/>
      <w:r>
        <w:rPr>
          <w:bCs/>
        </w:rPr>
        <w:t xml:space="preserve">. </w:t>
      </w:r>
      <w:r>
        <w:rPr>
          <w:bCs/>
          <w:i/>
          <w:iCs/>
        </w:rPr>
        <w:t>EFSA J</w:t>
      </w:r>
      <w:r>
        <w:rPr>
          <w:bCs/>
        </w:rPr>
        <w:t xml:space="preserve"> 8, 1526.</w:t>
      </w:r>
    </w:p>
    <w:p w14:paraId="29C2B332" w14:textId="77777777" w:rsidR="00B540FF" w:rsidRDefault="00B540FF" w:rsidP="005B7121">
      <w:pPr>
        <w:spacing w:after="120" w:line="480" w:lineRule="auto"/>
        <w:jc w:val="both"/>
        <w:rPr>
          <w:bCs/>
        </w:rPr>
      </w:pPr>
      <w:r>
        <w:rPr>
          <w:bCs/>
        </w:rPr>
        <w:t xml:space="preserve">[35] European Food Safety Authority (EFSA) (2011) Conclusion on the peer review of the pesticide risk assessment of the active substance prochloraz. </w:t>
      </w:r>
      <w:r>
        <w:rPr>
          <w:bCs/>
          <w:i/>
          <w:iCs/>
        </w:rPr>
        <w:t>EFSA J</w:t>
      </w:r>
      <w:r>
        <w:rPr>
          <w:bCs/>
        </w:rPr>
        <w:t xml:space="preserve"> 9, 2323.</w:t>
      </w:r>
    </w:p>
    <w:p w14:paraId="2D614142" w14:textId="77777777" w:rsidR="00B540FF" w:rsidRDefault="00B540FF" w:rsidP="005B7121">
      <w:pPr>
        <w:spacing w:after="120" w:line="480" w:lineRule="auto"/>
        <w:jc w:val="both"/>
        <w:rPr>
          <w:bCs/>
        </w:rPr>
      </w:pPr>
      <w:r>
        <w:rPr>
          <w:bCs/>
        </w:rPr>
        <w:t xml:space="preserve">[36] European Food Safety Authority (EFSA) (2009) Conclusion on the peer review of the pesticide risk assessment of the active substance </w:t>
      </w:r>
      <w:proofErr w:type="spellStart"/>
      <w:r>
        <w:rPr>
          <w:bCs/>
        </w:rPr>
        <w:t>triflumizole</w:t>
      </w:r>
      <w:proofErr w:type="spellEnd"/>
      <w:r>
        <w:rPr>
          <w:bCs/>
        </w:rPr>
        <w:t xml:space="preserve">. </w:t>
      </w:r>
      <w:r>
        <w:rPr>
          <w:bCs/>
          <w:i/>
          <w:iCs/>
        </w:rPr>
        <w:t>EFSA J</w:t>
      </w:r>
      <w:r>
        <w:rPr>
          <w:bCs/>
        </w:rPr>
        <w:t xml:space="preserve"> 7, 1415.</w:t>
      </w:r>
    </w:p>
    <w:p w14:paraId="07114E62" w14:textId="77777777" w:rsidR="00B540FF" w:rsidRDefault="00B540FF" w:rsidP="005B7121">
      <w:pPr>
        <w:spacing w:after="120" w:line="480" w:lineRule="auto"/>
        <w:jc w:val="both"/>
      </w:pPr>
      <w:r>
        <w:t xml:space="preserve">[37] Bell S, </w:t>
      </w:r>
      <w:proofErr w:type="spellStart"/>
      <w:r>
        <w:t>Abedini</w:t>
      </w:r>
      <w:proofErr w:type="spellEnd"/>
      <w:r>
        <w:t xml:space="preserve"> J, </w:t>
      </w:r>
      <w:proofErr w:type="spellStart"/>
      <w:r>
        <w:t>Ceger</w:t>
      </w:r>
      <w:proofErr w:type="spellEnd"/>
      <w:r>
        <w:t xml:space="preserve"> P, Chang X, Cook B, Karmaus AL, Lea I, Mansouri K, Phillips J, McAfee E, Rai R, Rooney J, </w:t>
      </w:r>
      <w:proofErr w:type="spellStart"/>
      <w:r>
        <w:t>Sprankle</w:t>
      </w:r>
      <w:proofErr w:type="spellEnd"/>
      <w:r>
        <w:t xml:space="preserve"> C, Tandon A, Allen D, Casey W, Kleinstreuer N (2020) An integrated chemical environment with tools for chemical safety testing. </w:t>
      </w:r>
      <w:proofErr w:type="spellStart"/>
      <w:r>
        <w:rPr>
          <w:i/>
          <w:iCs/>
        </w:rPr>
        <w:t>Toxicol</w:t>
      </w:r>
      <w:proofErr w:type="spellEnd"/>
      <w:r>
        <w:rPr>
          <w:i/>
          <w:iCs/>
        </w:rPr>
        <w:t>. in Vitro</w:t>
      </w:r>
      <w:r>
        <w:t xml:space="preserve"> 67: 104916.</w:t>
      </w:r>
    </w:p>
    <w:p w14:paraId="3DF8AB11" w14:textId="77777777" w:rsidR="00B540FF" w:rsidRDefault="00B540FF" w:rsidP="005B7121">
      <w:pPr>
        <w:spacing w:after="120" w:line="480" w:lineRule="auto"/>
        <w:jc w:val="both"/>
      </w:pPr>
      <w:r>
        <w:t xml:space="preserve">[38] Ball N, Bartels M, </w:t>
      </w:r>
      <w:proofErr w:type="spellStart"/>
      <w:r>
        <w:t>Budinsky</w:t>
      </w:r>
      <w:proofErr w:type="spellEnd"/>
      <w:r>
        <w:t xml:space="preserve"> R, </w:t>
      </w:r>
      <w:proofErr w:type="spellStart"/>
      <w:r>
        <w:t>Klapacz</w:t>
      </w:r>
      <w:proofErr w:type="spellEnd"/>
      <w:r>
        <w:t xml:space="preserve"> J, Hays S, Kirman C, Patlewicz G (2014) The challenge of using read-across within the EU REACH regulatory framework; how much uncertainty is too much? </w:t>
      </w:r>
      <w:proofErr w:type="spellStart"/>
      <w:r>
        <w:t>Dipropylene</w:t>
      </w:r>
      <w:proofErr w:type="spellEnd"/>
      <w:r>
        <w:t xml:space="preserve"> glycol methyl ether acetate, an exemplary case study. </w:t>
      </w:r>
      <w:proofErr w:type="spellStart"/>
      <w:r>
        <w:rPr>
          <w:i/>
        </w:rPr>
        <w:t>Regul</w:t>
      </w:r>
      <w:proofErr w:type="spellEnd"/>
      <w:r>
        <w:rPr>
          <w:i/>
        </w:rPr>
        <w:t xml:space="preserve">. </w:t>
      </w:r>
      <w:proofErr w:type="spellStart"/>
      <w:r>
        <w:rPr>
          <w:i/>
        </w:rPr>
        <w:t>Toxicol</w:t>
      </w:r>
      <w:proofErr w:type="spellEnd"/>
      <w:r>
        <w:rPr>
          <w:i/>
        </w:rPr>
        <w:t xml:space="preserve">. </w:t>
      </w:r>
      <w:proofErr w:type="spellStart"/>
      <w:r>
        <w:rPr>
          <w:i/>
        </w:rPr>
        <w:t>Pharmacol</w:t>
      </w:r>
      <w:proofErr w:type="spellEnd"/>
      <w:r>
        <w:t>. 68: 212-221.</w:t>
      </w:r>
    </w:p>
    <w:p w14:paraId="07C77E20" w14:textId="77777777" w:rsidR="00B540FF" w:rsidRDefault="00B540FF" w:rsidP="005B7121">
      <w:pPr>
        <w:spacing w:after="120" w:line="480" w:lineRule="auto"/>
        <w:jc w:val="both"/>
      </w:pPr>
      <w:r>
        <w:t xml:space="preserve">[39] Grimm FA, House JS, Wilson MR, </w:t>
      </w:r>
      <w:proofErr w:type="spellStart"/>
      <w:r>
        <w:t>Sirenko</w:t>
      </w:r>
      <w:proofErr w:type="spellEnd"/>
      <w:r>
        <w:t xml:space="preserve"> O, Iwata Y, Wright FA, Ball N, Rusyn I (2019) Multi-dimensional </w:t>
      </w:r>
      <w:r>
        <w:rPr>
          <w:i/>
          <w:iCs/>
        </w:rPr>
        <w:t>in vitro</w:t>
      </w:r>
      <w:r>
        <w:t xml:space="preserve"> bioactivity profiling for grouping of glycol ethers.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xml:space="preserve">. 101: 91-102.     </w:t>
      </w:r>
    </w:p>
    <w:p w14:paraId="0B3E4807" w14:textId="77777777" w:rsidR="00B540FF" w:rsidRDefault="00B540FF" w:rsidP="005B7121">
      <w:pPr>
        <w:spacing w:after="120" w:line="480" w:lineRule="auto"/>
        <w:jc w:val="both"/>
      </w:pPr>
      <w:r>
        <w:t xml:space="preserve">[40] House JS, Grimm FA, </w:t>
      </w:r>
      <w:proofErr w:type="spellStart"/>
      <w:r>
        <w:t>Klaren</w:t>
      </w:r>
      <w:proofErr w:type="spellEnd"/>
      <w:r>
        <w:t xml:space="preserve"> WD, Dalzell A, </w:t>
      </w:r>
      <w:proofErr w:type="spellStart"/>
      <w:r>
        <w:t>Kuchi</w:t>
      </w:r>
      <w:proofErr w:type="spellEnd"/>
      <w:r>
        <w:t xml:space="preserve"> S, Zhang S-D, Lenz K, Boogaard PJ, </w:t>
      </w:r>
      <w:proofErr w:type="spellStart"/>
      <w:r>
        <w:t>Ketelslegers</w:t>
      </w:r>
      <w:proofErr w:type="spellEnd"/>
      <w:r>
        <w:t xml:space="preserve"> HB, Gant TW, Wright FA, Rusyn I (2021) Grouping of UVCB substances with new approach methodologies (NAMs) data. </w:t>
      </w:r>
      <w:r>
        <w:rPr>
          <w:i/>
          <w:iCs/>
        </w:rPr>
        <w:t>ALTEX</w:t>
      </w:r>
      <w:r>
        <w:t xml:space="preserve"> 38: 123-137. </w:t>
      </w:r>
    </w:p>
    <w:p w14:paraId="6F5DE312" w14:textId="77777777" w:rsidR="00B540FF" w:rsidRDefault="00B540FF" w:rsidP="005B7121">
      <w:pPr>
        <w:spacing w:after="120" w:line="480" w:lineRule="auto"/>
        <w:jc w:val="both"/>
      </w:pPr>
      <w:r>
        <w:t xml:space="preserve">[41] van Ravenzwaay B, Sperber S, Lemke O, Fabian E, </w:t>
      </w:r>
      <w:proofErr w:type="spellStart"/>
      <w:r>
        <w:t>Faulhammer</w:t>
      </w:r>
      <w:proofErr w:type="spellEnd"/>
      <w:r>
        <w:t xml:space="preserve"> F, Kamp H, </w:t>
      </w:r>
      <w:proofErr w:type="spellStart"/>
      <w:r>
        <w:t>Mellert</w:t>
      </w:r>
      <w:proofErr w:type="spellEnd"/>
      <w:r>
        <w:t xml:space="preserve"> W, Strauss V, </w:t>
      </w:r>
      <w:proofErr w:type="spellStart"/>
      <w:r>
        <w:t>Strigun</w:t>
      </w:r>
      <w:proofErr w:type="spellEnd"/>
      <w:r>
        <w:t xml:space="preserve"> V, Peter E, Spitzer M, Walk T (2016) Metabolomics as read-across tool: A case study with phenoxy herbicides.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rPr>
          <w:i/>
          <w:iCs/>
        </w:rPr>
        <w:t>.</w:t>
      </w:r>
      <w:r>
        <w:t xml:space="preserve"> 81: 288-304. </w:t>
      </w:r>
    </w:p>
    <w:p w14:paraId="7FDD2205" w14:textId="77777777" w:rsidR="00B540FF" w:rsidRDefault="00B540FF" w:rsidP="005B7121">
      <w:pPr>
        <w:spacing w:after="120" w:line="480" w:lineRule="auto"/>
        <w:jc w:val="both"/>
      </w:pPr>
      <w:r>
        <w:t xml:space="preserve">[42] </w:t>
      </w:r>
      <w:proofErr w:type="spellStart"/>
      <w:r>
        <w:t>Boberg</w:t>
      </w:r>
      <w:proofErr w:type="spellEnd"/>
      <w:r>
        <w:t xml:space="preserve"> J, </w:t>
      </w:r>
      <w:proofErr w:type="spellStart"/>
      <w:r>
        <w:t>Dybdahl</w:t>
      </w:r>
      <w:proofErr w:type="spellEnd"/>
      <w:r>
        <w:t xml:space="preserve"> M, Petersen A, Hass U, </w:t>
      </w:r>
      <w:proofErr w:type="spellStart"/>
      <w:r>
        <w:t>Svingen</w:t>
      </w:r>
      <w:proofErr w:type="spellEnd"/>
      <w:r>
        <w:t xml:space="preserve"> T, </w:t>
      </w:r>
      <w:proofErr w:type="spellStart"/>
      <w:r>
        <w:t>Vinggaard</w:t>
      </w:r>
      <w:proofErr w:type="spellEnd"/>
      <w:r>
        <w:t xml:space="preserve"> AM (2019) A pragmatic approach for human risk assessment of chemical mixtures.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Toxicol</w:t>
      </w:r>
      <w:proofErr w:type="spellEnd"/>
      <w:r>
        <w:t>. 15: 1-7.</w:t>
      </w:r>
    </w:p>
    <w:p w14:paraId="616F1D04" w14:textId="77777777" w:rsidR="00B540FF" w:rsidRDefault="00B540FF" w:rsidP="005B7121">
      <w:pPr>
        <w:spacing w:after="120" w:line="480" w:lineRule="auto"/>
        <w:jc w:val="both"/>
      </w:pPr>
      <w:r>
        <w:t xml:space="preserve">[43] Dimitrov SD, Georgieva DG, Pavlov TS, </w:t>
      </w:r>
      <w:proofErr w:type="spellStart"/>
      <w:r>
        <w:t>Karakolev</w:t>
      </w:r>
      <w:proofErr w:type="spellEnd"/>
      <w:r>
        <w:t xml:space="preserve"> YH, </w:t>
      </w:r>
      <w:proofErr w:type="spellStart"/>
      <w:r>
        <w:t>Karamertzanis</w:t>
      </w:r>
      <w:proofErr w:type="spellEnd"/>
      <w:r>
        <w:t xml:space="preserve"> PG, </w:t>
      </w:r>
      <w:proofErr w:type="spellStart"/>
      <w:r>
        <w:t>Rasenberg</w:t>
      </w:r>
      <w:proofErr w:type="spellEnd"/>
      <w:r>
        <w:t xml:space="preserve"> M, Mekenyan OG (2015) UVCB substances: Methodology for structural description and application  to fate and hazard assessment. </w:t>
      </w:r>
      <w:r>
        <w:rPr>
          <w:i/>
        </w:rPr>
        <w:t xml:space="preserve">Environ. </w:t>
      </w:r>
      <w:proofErr w:type="spellStart"/>
      <w:r>
        <w:rPr>
          <w:i/>
        </w:rPr>
        <w:t>Toxicol</w:t>
      </w:r>
      <w:proofErr w:type="spellEnd"/>
      <w:r>
        <w:rPr>
          <w:i/>
        </w:rPr>
        <w:t>. Chem</w:t>
      </w:r>
      <w:r>
        <w:t>. 34: 2450-2462.</w:t>
      </w:r>
    </w:p>
    <w:p w14:paraId="7EB8FE63" w14:textId="77777777" w:rsidR="00B540FF" w:rsidRDefault="00B540FF" w:rsidP="005B7121">
      <w:pPr>
        <w:spacing w:after="120" w:line="480" w:lineRule="auto"/>
        <w:jc w:val="both"/>
      </w:pPr>
      <w:r>
        <w:t xml:space="preserve">[44] </w:t>
      </w:r>
      <w:proofErr w:type="spellStart"/>
      <w:r>
        <w:t>Kutsarova</w:t>
      </w:r>
      <w:proofErr w:type="spellEnd"/>
      <w:r>
        <w:t xml:space="preserve"> SS, </w:t>
      </w:r>
      <w:proofErr w:type="spellStart"/>
      <w:r>
        <w:t>Yordanova</w:t>
      </w:r>
      <w:proofErr w:type="spellEnd"/>
      <w:r>
        <w:t xml:space="preserve"> DG, </w:t>
      </w:r>
      <w:proofErr w:type="spellStart"/>
      <w:r>
        <w:t>Karakolev</w:t>
      </w:r>
      <w:proofErr w:type="spellEnd"/>
      <w:r>
        <w:t xml:space="preserve"> YH, </w:t>
      </w:r>
      <w:proofErr w:type="spellStart"/>
      <w:r>
        <w:t>Stoeva</w:t>
      </w:r>
      <w:proofErr w:type="spellEnd"/>
      <w:r>
        <w:t xml:space="preserve"> S, Comber M, Hughes CB, </w:t>
      </w:r>
      <w:proofErr w:type="spellStart"/>
      <w:r>
        <w:t>Vaiopoulou</w:t>
      </w:r>
      <w:proofErr w:type="spellEnd"/>
      <w:r>
        <w:t xml:space="preserve"> E, Dimitrov SD, Mekenyan OG (2019) UVCB substances II: Development of an endpoint-nonspecific procedure for selection of computationally generated representative constituents. </w:t>
      </w:r>
      <w:r>
        <w:rPr>
          <w:i/>
        </w:rPr>
        <w:t xml:space="preserve">Environ. </w:t>
      </w:r>
      <w:proofErr w:type="spellStart"/>
      <w:r>
        <w:rPr>
          <w:i/>
        </w:rPr>
        <w:t>Toxicol</w:t>
      </w:r>
      <w:proofErr w:type="spellEnd"/>
      <w:r>
        <w:rPr>
          <w:i/>
        </w:rPr>
        <w:t>. Chem</w:t>
      </w:r>
      <w:r>
        <w:t>. 38: 682-694.</w:t>
      </w:r>
    </w:p>
    <w:p w14:paraId="1A04174D" w14:textId="77777777" w:rsidR="00B540FF" w:rsidRDefault="00B540FF" w:rsidP="005B7121">
      <w:pPr>
        <w:spacing w:after="120" w:line="480" w:lineRule="auto"/>
        <w:jc w:val="both"/>
      </w:pPr>
      <w:r>
        <w:t xml:space="preserve">[45] </w:t>
      </w:r>
      <w:proofErr w:type="spellStart"/>
      <w:r>
        <w:t>Yordanova</w:t>
      </w:r>
      <w:proofErr w:type="spellEnd"/>
      <w:r>
        <w:t xml:space="preserve"> DG, Patterson TJ, North CM, </w:t>
      </w:r>
      <w:proofErr w:type="spellStart"/>
      <w:r>
        <w:t>Camenzuli</w:t>
      </w:r>
      <w:proofErr w:type="spellEnd"/>
      <w:r>
        <w:t xml:space="preserve"> L, </w:t>
      </w:r>
      <w:proofErr w:type="spellStart"/>
      <w:r>
        <w:t>Chapkanov</w:t>
      </w:r>
      <w:proofErr w:type="spellEnd"/>
      <w:r>
        <w:t xml:space="preserve"> AS, Pavlov TS, Mekenyan OG (2021) Selection of representative constituents for Unknown, Variable, Complex, or Biological origin substance assessment based on hierarchical clustering. </w:t>
      </w:r>
      <w:r>
        <w:rPr>
          <w:i/>
        </w:rPr>
        <w:t xml:space="preserve">Environ. </w:t>
      </w:r>
      <w:proofErr w:type="spellStart"/>
      <w:r>
        <w:rPr>
          <w:i/>
        </w:rPr>
        <w:t>Toxicol</w:t>
      </w:r>
      <w:proofErr w:type="spellEnd"/>
      <w:r>
        <w:rPr>
          <w:i/>
        </w:rPr>
        <w:t>. Chem</w:t>
      </w:r>
      <w:r>
        <w:t>. 40: 3205-3218.</w:t>
      </w:r>
    </w:p>
    <w:p w14:paraId="29FE97DA" w14:textId="77777777" w:rsidR="00B540FF" w:rsidRDefault="00B540FF" w:rsidP="005B7121">
      <w:pPr>
        <w:spacing w:after="120" w:line="480" w:lineRule="auto"/>
        <w:jc w:val="both"/>
      </w:pPr>
      <w:r>
        <w:t xml:space="preserve">[46] Benfenati E, Chaudhry Q, Gini G, </w:t>
      </w:r>
      <w:proofErr w:type="spellStart"/>
      <w:r>
        <w:t>Dorne</w:t>
      </w:r>
      <w:proofErr w:type="spellEnd"/>
      <w:r>
        <w:t xml:space="preserve"> JL (2019) Integrating </w:t>
      </w:r>
      <w:r>
        <w:rPr>
          <w:i/>
          <w:iCs/>
        </w:rPr>
        <w:t>in silico</w:t>
      </w:r>
      <w:r>
        <w:t xml:space="preserve"> models and read-across methods for predicting toxicity of chemicals: A step-wise strategy. </w:t>
      </w:r>
      <w:r>
        <w:rPr>
          <w:i/>
          <w:iCs/>
        </w:rPr>
        <w:t>Environ. Int</w:t>
      </w:r>
      <w:r>
        <w:t>. 131: 105060.</w:t>
      </w:r>
    </w:p>
    <w:p w14:paraId="2714467C" w14:textId="77777777" w:rsidR="00B540FF" w:rsidRDefault="00B540FF" w:rsidP="005B7121">
      <w:pPr>
        <w:spacing w:after="120" w:line="480" w:lineRule="auto"/>
        <w:jc w:val="both"/>
      </w:pPr>
      <w:r>
        <w:t xml:space="preserve">[47] Gadaleta D, Golbamaki BA, </w:t>
      </w:r>
      <w:proofErr w:type="spellStart"/>
      <w:r>
        <w:t>Lavado</w:t>
      </w:r>
      <w:proofErr w:type="spellEnd"/>
      <w:r>
        <w:t xml:space="preserve"> GJ, Roncaglioni A, Benfenati E (2020) Automated integration of structural, biological and metabolic similarities to sustain read-across. </w:t>
      </w:r>
      <w:r>
        <w:rPr>
          <w:i/>
          <w:iCs/>
        </w:rPr>
        <w:t>ALTEX</w:t>
      </w:r>
      <w:r>
        <w:t xml:space="preserve"> 37: 469-481. </w:t>
      </w:r>
    </w:p>
    <w:p w14:paraId="4FE0D70A" w14:textId="77777777" w:rsidR="00B540FF" w:rsidRDefault="00B540FF" w:rsidP="005B7121">
      <w:pPr>
        <w:spacing w:after="120" w:line="480" w:lineRule="auto"/>
        <w:jc w:val="both"/>
      </w:pPr>
      <w:r>
        <w:t xml:space="preserve">[48] Guo Y, Zhao L, Zhang X, Zhu H (2019) Using a hybrid read-across method to evaluate chemical toxicity based on chemical structure and biological data. </w:t>
      </w:r>
      <w:proofErr w:type="spellStart"/>
      <w:r>
        <w:rPr>
          <w:i/>
          <w:iCs/>
        </w:rPr>
        <w:t>Ecotoxicol</w:t>
      </w:r>
      <w:proofErr w:type="spellEnd"/>
      <w:r>
        <w:rPr>
          <w:i/>
          <w:iCs/>
        </w:rPr>
        <w:t xml:space="preserve">. Environ. </w:t>
      </w:r>
      <w:proofErr w:type="spellStart"/>
      <w:r>
        <w:rPr>
          <w:i/>
          <w:iCs/>
        </w:rPr>
        <w:t>Saf</w:t>
      </w:r>
      <w:proofErr w:type="spellEnd"/>
      <w:r>
        <w:t>. 178: 178-187.</w:t>
      </w:r>
    </w:p>
    <w:p w14:paraId="7FA68C38" w14:textId="77777777" w:rsidR="00B540FF" w:rsidRDefault="00B540FF" w:rsidP="005B7121">
      <w:pPr>
        <w:spacing w:after="120" w:line="480" w:lineRule="auto"/>
        <w:jc w:val="both"/>
      </w:pPr>
      <w:r>
        <w:t xml:space="preserve">[49] Gilmour N, Kern PS, Alepee N, </w:t>
      </w:r>
      <w:proofErr w:type="spellStart"/>
      <w:r>
        <w:t>Boisleve</w:t>
      </w:r>
      <w:proofErr w:type="spellEnd"/>
      <w:r>
        <w:t xml:space="preserve"> F, Bury D, Clouet E, </w:t>
      </w:r>
      <w:proofErr w:type="spellStart"/>
      <w:r>
        <w:t>Hirota</w:t>
      </w:r>
      <w:proofErr w:type="spellEnd"/>
      <w:r>
        <w:t xml:space="preserve"> M, Hoffmann S, </w:t>
      </w:r>
      <w:proofErr w:type="spellStart"/>
      <w:r>
        <w:t>Kuehnl</w:t>
      </w:r>
      <w:proofErr w:type="spellEnd"/>
      <w:r>
        <w:t xml:space="preserve"> J, </w:t>
      </w:r>
      <w:proofErr w:type="spellStart"/>
      <w:r>
        <w:t>Lalko</w:t>
      </w:r>
      <w:proofErr w:type="spellEnd"/>
      <w:r>
        <w:t xml:space="preserve"> JF, </w:t>
      </w:r>
      <w:proofErr w:type="spellStart"/>
      <w:r>
        <w:t>Mewes</w:t>
      </w:r>
      <w:proofErr w:type="spellEnd"/>
      <w:r>
        <w:t xml:space="preserve"> K, Miyazawa M, Nishida H, Osmani A, </w:t>
      </w:r>
      <w:proofErr w:type="spellStart"/>
      <w:r>
        <w:t>Petersohn</w:t>
      </w:r>
      <w:proofErr w:type="spellEnd"/>
      <w:r>
        <w:t xml:space="preserve"> D, </w:t>
      </w:r>
      <w:proofErr w:type="spellStart"/>
      <w:r>
        <w:t>Sekine</w:t>
      </w:r>
      <w:proofErr w:type="spellEnd"/>
      <w:r>
        <w:t xml:space="preserve"> S, van Vliet E, Klaric M (2020) Development of a next generation risk assessment framework for the evaluation of skin sensitisation of cosmetic ingredients.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116: 104721.</w:t>
      </w:r>
    </w:p>
    <w:p w14:paraId="335E4EA2" w14:textId="77777777" w:rsidR="00B540FF" w:rsidRDefault="00B540FF" w:rsidP="005B7121">
      <w:pPr>
        <w:spacing w:after="120" w:line="480" w:lineRule="auto"/>
        <w:jc w:val="both"/>
      </w:pPr>
      <w:r>
        <w:t xml:space="preserve">[50] Enoch SJ, Cronin MTD, Schultz TW, Madden JC (2008) Quantitative and mechanistic read across for predicting the skin sensitization potential of alkenes acting via Michael addition. </w:t>
      </w:r>
      <w:r>
        <w:rPr>
          <w:i/>
          <w:iCs/>
        </w:rPr>
        <w:t xml:space="preserve">Chem. Res. </w:t>
      </w:r>
      <w:proofErr w:type="spellStart"/>
      <w:r>
        <w:rPr>
          <w:i/>
          <w:iCs/>
        </w:rPr>
        <w:t>Toxicol</w:t>
      </w:r>
      <w:proofErr w:type="spellEnd"/>
      <w:r>
        <w:rPr>
          <w:i/>
          <w:iCs/>
        </w:rPr>
        <w:t xml:space="preserve">. </w:t>
      </w:r>
      <w:r>
        <w:t>21: 513-520.</w:t>
      </w:r>
    </w:p>
    <w:p w14:paraId="43FB744B" w14:textId="77777777" w:rsidR="00B540FF" w:rsidRDefault="00B540FF" w:rsidP="005B7121">
      <w:pPr>
        <w:spacing w:after="120" w:line="480" w:lineRule="auto"/>
        <w:jc w:val="both"/>
      </w:pPr>
      <w:r>
        <w:t xml:space="preserve">[51] Enoch SJ, Ellison CM, Schultz TW, Cronin MTD (2011) A review of the electrophilic reaction chemistry involved in covalent protein binding relevant to toxicity. </w:t>
      </w:r>
      <w:r>
        <w:rPr>
          <w:i/>
          <w:iCs/>
        </w:rPr>
        <w:t xml:space="preserve">Crit. Rev. </w:t>
      </w:r>
      <w:proofErr w:type="spellStart"/>
      <w:r>
        <w:rPr>
          <w:i/>
          <w:iCs/>
        </w:rPr>
        <w:t>Toxicol</w:t>
      </w:r>
      <w:proofErr w:type="spellEnd"/>
      <w:r>
        <w:t>. 41: 783-802.</w:t>
      </w:r>
    </w:p>
    <w:p w14:paraId="20A93A1D" w14:textId="77777777" w:rsidR="00B540FF" w:rsidRDefault="00B540FF" w:rsidP="005B7121">
      <w:pPr>
        <w:spacing w:after="120" w:line="480" w:lineRule="auto"/>
        <w:jc w:val="both"/>
      </w:pPr>
      <w:r>
        <w:t xml:space="preserve">[52] </w:t>
      </w:r>
      <w:proofErr w:type="spellStart"/>
      <w:r>
        <w:t>Koleva</w:t>
      </w:r>
      <w:proofErr w:type="spellEnd"/>
      <w:r>
        <w:t xml:space="preserve"> YK, Madden JC, Cronin MTD (2008) Formation of categories from structure-activity relationships to allow read-across for risk assessment: Toxicity of </w:t>
      </w:r>
      <w:r>
        <w:rPr>
          <w:rFonts w:ascii="Symbol" w:hAnsi="Symbol"/>
        </w:rPr>
        <w:t></w:t>
      </w:r>
      <w:r>
        <w:t>,</w:t>
      </w:r>
      <w:r>
        <w:rPr>
          <w:rFonts w:ascii="Symbol" w:hAnsi="Symbol"/>
        </w:rPr>
        <w:t></w:t>
      </w:r>
      <w:r>
        <w:t xml:space="preserve">-unsaturated carbonyl compounds. </w:t>
      </w:r>
      <w:r>
        <w:rPr>
          <w:i/>
          <w:iCs/>
        </w:rPr>
        <w:t xml:space="preserve">Chem. Res. </w:t>
      </w:r>
      <w:proofErr w:type="spellStart"/>
      <w:r>
        <w:rPr>
          <w:i/>
          <w:iCs/>
        </w:rPr>
        <w:t>Toxicol</w:t>
      </w:r>
      <w:proofErr w:type="spellEnd"/>
      <w:r>
        <w:rPr>
          <w:i/>
          <w:iCs/>
        </w:rPr>
        <w:t>.</w:t>
      </w:r>
      <w:r>
        <w:t xml:space="preserve"> 21: 2300-2312.</w:t>
      </w:r>
    </w:p>
    <w:p w14:paraId="17272E59" w14:textId="77777777" w:rsidR="00B540FF" w:rsidRDefault="00B540FF" w:rsidP="005B7121">
      <w:pPr>
        <w:spacing w:after="120" w:line="480" w:lineRule="auto"/>
        <w:jc w:val="both"/>
        <w:rPr>
          <w:bCs/>
        </w:rPr>
      </w:pPr>
      <w:r>
        <w:rPr>
          <w:bCs/>
        </w:rPr>
        <w:t xml:space="preserve">[53] Marx-Stoelting, P., </w:t>
      </w:r>
      <w:proofErr w:type="spellStart"/>
      <w:r>
        <w:rPr>
          <w:bCs/>
        </w:rPr>
        <w:t>Knebel</w:t>
      </w:r>
      <w:proofErr w:type="spellEnd"/>
      <w:r>
        <w:rPr>
          <w:bCs/>
        </w:rPr>
        <w:t xml:space="preserve">, C., </w:t>
      </w:r>
      <w:proofErr w:type="spellStart"/>
      <w:r>
        <w:rPr>
          <w:bCs/>
        </w:rPr>
        <w:t>Braeuning</w:t>
      </w:r>
      <w:proofErr w:type="spellEnd"/>
      <w:r>
        <w:rPr>
          <w:bCs/>
        </w:rPr>
        <w:t xml:space="preserve">, A., 2020. The connection of azole fungicides with </w:t>
      </w:r>
      <w:proofErr w:type="spellStart"/>
      <w:r>
        <w:rPr>
          <w:bCs/>
        </w:rPr>
        <w:t>xeno</w:t>
      </w:r>
      <w:proofErr w:type="spellEnd"/>
      <w:r>
        <w:rPr>
          <w:bCs/>
        </w:rPr>
        <w:t xml:space="preserve">-sensing nuclear receptors, drug metabolism and hepatotoxicity. Cells 9: 1192. </w:t>
      </w:r>
    </w:p>
    <w:p w14:paraId="5529CE91" w14:textId="77777777" w:rsidR="00B540FF" w:rsidRDefault="00B540FF" w:rsidP="005B7121">
      <w:pPr>
        <w:spacing w:after="120" w:line="480" w:lineRule="auto"/>
        <w:jc w:val="both"/>
      </w:pPr>
      <w:r>
        <w:t xml:space="preserve">[54] Mellor CL, Marchese Robinson RL, Benigni R, Ebbrell D, Enoch SJ, Firman JW, Madden JC, Pawar G, Yang C, Cronin MTD (2019) Molecular fingerprint-derived similarity measures for toxicological read-across: Recommendations for optimal use.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101: 121-134.</w:t>
      </w:r>
    </w:p>
    <w:p w14:paraId="3FE68065" w14:textId="77777777" w:rsidR="00B540FF" w:rsidRDefault="00B540FF" w:rsidP="005B7121">
      <w:pPr>
        <w:spacing w:after="120" w:line="480" w:lineRule="auto"/>
        <w:jc w:val="both"/>
      </w:pPr>
      <w:r>
        <w:t xml:space="preserve">[55] Rovida C, Escher SE, Herzler M, </w:t>
      </w:r>
      <w:proofErr w:type="spellStart"/>
      <w:r>
        <w:t>Bennekou</w:t>
      </w:r>
      <w:proofErr w:type="spellEnd"/>
      <w:r>
        <w:t xml:space="preserve"> SH, Kamp H, Kroese DE, </w:t>
      </w:r>
      <w:proofErr w:type="spellStart"/>
      <w:r>
        <w:t>Maslankiewicz</w:t>
      </w:r>
      <w:proofErr w:type="spellEnd"/>
      <w:r>
        <w:t xml:space="preserve"> L, Moné MJ, Patlewicz G, Sipes N, van </w:t>
      </w:r>
      <w:proofErr w:type="spellStart"/>
      <w:r>
        <w:t>Aerts</w:t>
      </w:r>
      <w:proofErr w:type="spellEnd"/>
      <w:r>
        <w:t xml:space="preserve"> L, White A, Yamada T, van de Water B (2021) NAM-supported read-across: From case studies to regulatory guidance in safety assessment. </w:t>
      </w:r>
      <w:r>
        <w:rPr>
          <w:i/>
        </w:rPr>
        <w:t>ALTEX</w:t>
      </w:r>
      <w:r>
        <w:t xml:space="preserve"> 38: 140-150.</w:t>
      </w:r>
    </w:p>
    <w:p w14:paraId="08D875DE" w14:textId="77777777" w:rsidR="00B540FF" w:rsidRDefault="00B540FF" w:rsidP="005B7121">
      <w:pPr>
        <w:spacing w:after="120" w:line="480" w:lineRule="auto"/>
        <w:jc w:val="both"/>
      </w:pPr>
      <w:r>
        <w:t xml:space="preserve">[56] Schultz TW, Przybylak KR, </w:t>
      </w:r>
      <w:proofErr w:type="spellStart"/>
      <w:r>
        <w:t>Richarz</w:t>
      </w:r>
      <w:proofErr w:type="spellEnd"/>
      <w:r>
        <w:t xml:space="preserve"> A-N, Mellor CL, Escher SE, Bradbury SP, Cronin MTD (2017) Read-across for 90-day rat oral repeated-dose toxicity for selected n-alkanols: A case study. </w:t>
      </w:r>
      <w:proofErr w:type="spellStart"/>
      <w:r>
        <w:rPr>
          <w:i/>
          <w:iCs/>
        </w:rPr>
        <w:t>Comput</w:t>
      </w:r>
      <w:proofErr w:type="spellEnd"/>
      <w:r>
        <w:rPr>
          <w:i/>
          <w:iCs/>
        </w:rPr>
        <w:t xml:space="preserve">. </w:t>
      </w:r>
      <w:proofErr w:type="spellStart"/>
      <w:r>
        <w:rPr>
          <w:i/>
          <w:iCs/>
        </w:rPr>
        <w:t>Toxicol</w:t>
      </w:r>
      <w:proofErr w:type="spellEnd"/>
      <w:r>
        <w:t xml:space="preserve">. 2: 12-19.        </w:t>
      </w:r>
    </w:p>
    <w:p w14:paraId="732E6A96" w14:textId="77777777" w:rsidR="00B540FF" w:rsidRDefault="00B540FF" w:rsidP="005B7121">
      <w:pPr>
        <w:spacing w:after="120" w:line="480" w:lineRule="auto"/>
        <w:jc w:val="both"/>
      </w:pPr>
      <w:r>
        <w:t>[57] Bury D, Alexander-White C, Clewell HJ 3</w:t>
      </w:r>
      <w:r>
        <w:rPr>
          <w:vertAlign w:val="superscript"/>
        </w:rPr>
        <w:t>rd</w:t>
      </w:r>
      <w:r>
        <w:t xml:space="preserve">, Cronin M, Desprez B, Detroyer A, </w:t>
      </w:r>
      <w:proofErr w:type="spellStart"/>
      <w:r>
        <w:t>Efremenko</w:t>
      </w:r>
      <w:proofErr w:type="spellEnd"/>
      <w:r>
        <w:t xml:space="preserve"> A, Firman J, Hack E, Hewitt NJ, Kenna G, Klaric M, Lester C, Mahony C, Ouedraogo G, Paini A, Schepky A (2021) New framework for a non-animal approach adequately assures the safety of cosmetic ingredients - A case study on caffeine. </w:t>
      </w:r>
      <w:proofErr w:type="spellStart"/>
      <w:r>
        <w:rPr>
          <w:i/>
          <w:iCs/>
        </w:rPr>
        <w:t>Regul</w:t>
      </w:r>
      <w:proofErr w:type="spellEnd"/>
      <w:r>
        <w:rPr>
          <w:i/>
          <w:iCs/>
        </w:rPr>
        <w:t xml:space="preserve">. </w:t>
      </w:r>
      <w:proofErr w:type="spellStart"/>
      <w:r>
        <w:rPr>
          <w:i/>
          <w:iCs/>
        </w:rPr>
        <w:t>Toxicol</w:t>
      </w:r>
      <w:proofErr w:type="spellEnd"/>
      <w:r>
        <w:rPr>
          <w:i/>
          <w:iCs/>
        </w:rPr>
        <w:t xml:space="preserve">. </w:t>
      </w:r>
      <w:proofErr w:type="spellStart"/>
      <w:r>
        <w:rPr>
          <w:i/>
          <w:iCs/>
        </w:rPr>
        <w:t>Pharmacol</w:t>
      </w:r>
      <w:proofErr w:type="spellEnd"/>
      <w:r>
        <w:t>. 123: 104931.</w:t>
      </w:r>
    </w:p>
    <w:p w14:paraId="56BBEB63" w14:textId="77777777" w:rsidR="00B540FF" w:rsidRDefault="00B540FF" w:rsidP="005B7121">
      <w:pPr>
        <w:spacing w:after="120" w:line="480" w:lineRule="auto"/>
        <w:jc w:val="both"/>
      </w:pPr>
      <w:r>
        <w:t xml:space="preserve">[58] Firman JW, Punt A Cronin MTD, </w:t>
      </w:r>
      <w:proofErr w:type="spellStart"/>
      <w:r>
        <w:t>Boobis</w:t>
      </w:r>
      <w:proofErr w:type="spellEnd"/>
      <w:r>
        <w:t xml:space="preserve"> AR, Wilks MF, Hepburn, PA, </w:t>
      </w:r>
      <w:proofErr w:type="spellStart"/>
      <w:r>
        <w:t>Thiel</w:t>
      </w:r>
      <w:proofErr w:type="spellEnd"/>
      <w:r>
        <w:t xml:space="preserve">, A, </w:t>
      </w:r>
      <w:proofErr w:type="spellStart"/>
      <w:r>
        <w:t>Fussell</w:t>
      </w:r>
      <w:proofErr w:type="spellEnd"/>
      <w:r>
        <w:t xml:space="preserve"> KC (2021) Exploring the potential of </w:t>
      </w:r>
      <w:proofErr w:type="spellStart"/>
      <w:r>
        <w:t>ToxCast</w:t>
      </w:r>
      <w:proofErr w:type="spellEnd"/>
      <w:r>
        <w:t xml:space="preserve"> data in supporting read-across for evaluation of food chemical safety. </w:t>
      </w:r>
      <w:r>
        <w:rPr>
          <w:i/>
          <w:iCs/>
        </w:rPr>
        <w:t xml:space="preserve">Chem. Res. </w:t>
      </w:r>
      <w:proofErr w:type="spellStart"/>
      <w:r>
        <w:rPr>
          <w:i/>
          <w:iCs/>
        </w:rPr>
        <w:t>Toxicol</w:t>
      </w:r>
      <w:proofErr w:type="spellEnd"/>
      <w:r>
        <w:rPr>
          <w:i/>
          <w:iCs/>
        </w:rPr>
        <w:t>.</w:t>
      </w:r>
      <w:r>
        <w:t xml:space="preserve">  34: 300-312.</w:t>
      </w:r>
    </w:p>
    <w:p w14:paraId="02420837" w14:textId="77777777" w:rsidR="00B540FF" w:rsidRDefault="00B540FF" w:rsidP="005B7121">
      <w:pPr>
        <w:spacing w:after="120" w:line="480" w:lineRule="auto"/>
        <w:jc w:val="both"/>
      </w:pPr>
      <w:r>
        <w:t xml:space="preserve">[59] Firman JW, Cronin MTD, Rowe PH, Semenova EP, Doe JE (2022) The use of Bayesian methodology in the development and validation of a tiered assessment approach towards prediction of rat acute oral toxicity. </w:t>
      </w:r>
      <w:r>
        <w:rPr>
          <w:i/>
        </w:rPr>
        <w:t xml:space="preserve">Arch. </w:t>
      </w:r>
      <w:proofErr w:type="spellStart"/>
      <w:r>
        <w:rPr>
          <w:i/>
        </w:rPr>
        <w:t>Toxicol</w:t>
      </w:r>
      <w:proofErr w:type="spellEnd"/>
      <w:r>
        <w:t>. In press.</w:t>
      </w:r>
    </w:p>
    <w:p w14:paraId="3A41D1E4" w14:textId="77777777" w:rsidR="00B540FF" w:rsidRDefault="00B540FF" w:rsidP="005B7121">
      <w:pPr>
        <w:spacing w:after="120" w:line="480" w:lineRule="auto"/>
        <w:jc w:val="both"/>
      </w:pPr>
      <w:r>
        <w:t>[60] Steinmetz FP, Madden JC, Cronin MTD (2015) Data quality in the human and environmental health sciences: using statistical confidence scoring to improve QSAR/QSPR modelling. J. Chem. Inf. Model 55: 1739-1746.</w:t>
      </w:r>
    </w:p>
    <w:p w14:paraId="0A1DDC3E" w14:textId="77777777" w:rsidR="00B540FF" w:rsidRDefault="00B540FF" w:rsidP="005B7121">
      <w:pPr>
        <w:spacing w:after="120" w:line="480" w:lineRule="auto"/>
        <w:jc w:val="both"/>
      </w:pPr>
      <w:r>
        <w:t xml:space="preserve">[61] Enoch SJ, Cronin MTD, Madden JC, Hewitt M (2009) Formation of structural categories to allow for read-across for teratogenicity. </w:t>
      </w:r>
      <w:r>
        <w:rPr>
          <w:i/>
        </w:rPr>
        <w:t>QSAR and Comb. Sci</w:t>
      </w:r>
      <w:r>
        <w:t>. 28: 696-708.</w:t>
      </w:r>
    </w:p>
    <w:p w14:paraId="3696FAC9" w14:textId="77777777" w:rsidR="00B540FF" w:rsidRDefault="00B540FF" w:rsidP="005B7121">
      <w:pPr>
        <w:spacing w:after="120" w:line="480" w:lineRule="auto"/>
        <w:jc w:val="both"/>
      </w:pPr>
      <w:r>
        <w:t xml:space="preserve">[62] Enoch SJ, Hasarova Z, Cronin MTD, </w:t>
      </w:r>
      <w:proofErr w:type="spellStart"/>
      <w:r>
        <w:t>Bridgewood</w:t>
      </w:r>
      <w:proofErr w:type="spellEnd"/>
      <w:r>
        <w:t xml:space="preserve"> K, Rao S, Kluxen FM, Frericks M (2022) Sub-structure-based category formation for the prioritisation of genotoxicity hazard assessment for pesticide residues: Sulphonyl </w:t>
      </w:r>
      <w:proofErr w:type="spellStart"/>
      <w:r>
        <w:t>ureas</w:t>
      </w:r>
      <w:proofErr w:type="spellEnd"/>
      <w:r>
        <w:t xml:space="preserve">. </w:t>
      </w:r>
      <w:proofErr w:type="spellStart"/>
      <w:r>
        <w:rPr>
          <w:i/>
        </w:rPr>
        <w:t>Regul</w:t>
      </w:r>
      <w:proofErr w:type="spellEnd"/>
      <w:r>
        <w:rPr>
          <w:i/>
        </w:rPr>
        <w:t xml:space="preserve">. </w:t>
      </w:r>
      <w:proofErr w:type="spellStart"/>
      <w:r>
        <w:rPr>
          <w:i/>
        </w:rPr>
        <w:t>Toxicol</w:t>
      </w:r>
      <w:proofErr w:type="spellEnd"/>
      <w:r>
        <w:rPr>
          <w:i/>
        </w:rPr>
        <w:t xml:space="preserve">. </w:t>
      </w:r>
      <w:proofErr w:type="spellStart"/>
      <w:r>
        <w:rPr>
          <w:i/>
        </w:rPr>
        <w:t>Pharmacol</w:t>
      </w:r>
      <w:proofErr w:type="spellEnd"/>
      <w:r>
        <w:t>. 129: 105115.</w:t>
      </w:r>
    </w:p>
    <w:p w14:paraId="591FB6B4" w14:textId="77777777" w:rsidR="00B540FF" w:rsidRDefault="00B540FF" w:rsidP="005B7121">
      <w:pPr>
        <w:spacing w:after="120" w:line="480" w:lineRule="auto"/>
        <w:jc w:val="both"/>
      </w:pPr>
      <w:r>
        <w:t xml:space="preserve">[63] </w:t>
      </w:r>
      <w:proofErr w:type="spellStart"/>
      <w:r>
        <w:t>Hanway</w:t>
      </w:r>
      <w:proofErr w:type="spellEnd"/>
      <w:r>
        <w:t xml:space="preserve"> RH, Evans PF (2000) Read-across of toxicological data in the notification of new chemicals. </w:t>
      </w:r>
      <w:proofErr w:type="spellStart"/>
      <w:r>
        <w:rPr>
          <w:i/>
          <w:iCs/>
        </w:rPr>
        <w:t>Toxicol</w:t>
      </w:r>
      <w:proofErr w:type="spellEnd"/>
      <w:r>
        <w:rPr>
          <w:i/>
          <w:iCs/>
        </w:rPr>
        <w:t>. Lett.</w:t>
      </w:r>
      <w:r>
        <w:t xml:space="preserve"> 116 (Suppl. 1): 61</w:t>
      </w:r>
    </w:p>
    <w:p w14:paraId="30B0EE62" w14:textId="77777777" w:rsidR="00B540FF" w:rsidRDefault="00B540FF" w:rsidP="005B7121">
      <w:pPr>
        <w:spacing w:after="120" w:line="480" w:lineRule="auto"/>
        <w:jc w:val="both"/>
      </w:pPr>
      <w:r>
        <w:t>[64] Rice PA, Cooper J, Koh-</w:t>
      </w:r>
      <w:proofErr w:type="spellStart"/>
      <w:r>
        <w:t>Fallet</w:t>
      </w:r>
      <w:proofErr w:type="spellEnd"/>
      <w:r>
        <w:t xml:space="preserve"> SE, </w:t>
      </w:r>
      <w:proofErr w:type="spellStart"/>
      <w:r>
        <w:t>Kabadi</w:t>
      </w:r>
      <w:proofErr w:type="spellEnd"/>
      <w:r>
        <w:t xml:space="preserve"> SV (2021) Comparative analysis of the physicochemical, toxicokinetic, and toxicological properties of ether-PFAS. </w:t>
      </w:r>
      <w:proofErr w:type="spellStart"/>
      <w:r>
        <w:rPr>
          <w:i/>
        </w:rPr>
        <w:t>Toxicol</w:t>
      </w:r>
      <w:proofErr w:type="spellEnd"/>
      <w:r>
        <w:rPr>
          <w:i/>
        </w:rPr>
        <w:t xml:space="preserve">. Appl. </w:t>
      </w:r>
      <w:proofErr w:type="spellStart"/>
      <w:r>
        <w:rPr>
          <w:i/>
        </w:rPr>
        <w:t>Pharmacol</w:t>
      </w:r>
      <w:proofErr w:type="spellEnd"/>
      <w:r>
        <w:t>. 422: 115531.</w:t>
      </w:r>
    </w:p>
    <w:p w14:paraId="0EB5FB06" w14:textId="77777777" w:rsidR="00B540FF" w:rsidRDefault="00B540FF" w:rsidP="005B7121">
      <w:pPr>
        <w:spacing w:after="120" w:line="480" w:lineRule="auto"/>
        <w:jc w:val="both"/>
      </w:pPr>
      <w:r>
        <w:t xml:space="preserve">[65] Patlewicz G, Cronin MTD, Helman G, Lambert JC, Lizarraga LE, Shah I (2018) Navigating through the minefield of read-across frameworks: A commentary perspective. </w:t>
      </w:r>
      <w:proofErr w:type="spellStart"/>
      <w:r>
        <w:rPr>
          <w:i/>
          <w:iCs/>
        </w:rPr>
        <w:t>Comput</w:t>
      </w:r>
      <w:proofErr w:type="spellEnd"/>
      <w:r>
        <w:rPr>
          <w:i/>
          <w:iCs/>
        </w:rPr>
        <w:t xml:space="preserve">. </w:t>
      </w:r>
      <w:proofErr w:type="spellStart"/>
      <w:r>
        <w:rPr>
          <w:i/>
          <w:iCs/>
        </w:rPr>
        <w:t>Toxicol</w:t>
      </w:r>
      <w:proofErr w:type="spellEnd"/>
      <w:r>
        <w:t>. 6: 39-54.</w:t>
      </w:r>
    </w:p>
    <w:bookmarkEnd w:id="8"/>
    <w:p w14:paraId="3069A338" w14:textId="77777777" w:rsidR="002A432A" w:rsidRDefault="002A432A" w:rsidP="00CF18C5">
      <w:pPr>
        <w:spacing w:after="120" w:line="480" w:lineRule="auto"/>
      </w:pPr>
      <w:r>
        <w:br w:type="page"/>
      </w:r>
    </w:p>
    <w:p w14:paraId="76C4B8F0" w14:textId="43690ECD" w:rsidR="00775C12" w:rsidRDefault="002110DF" w:rsidP="004C7B0F">
      <w:pPr>
        <w:spacing w:after="120" w:line="480" w:lineRule="auto"/>
        <w:jc w:val="both"/>
      </w:pPr>
      <w:r>
        <w:t xml:space="preserve">Supplementary Information </w:t>
      </w:r>
    </w:p>
    <w:p w14:paraId="61AA4AB0" w14:textId="3BD9C2B1" w:rsidR="00910670" w:rsidRDefault="002110DF" w:rsidP="005D2C14">
      <w:pPr>
        <w:spacing w:after="120" w:line="480" w:lineRule="auto"/>
        <w:jc w:val="both"/>
        <w:sectPr w:rsidR="00910670" w:rsidSect="00C054E5">
          <w:pgSz w:w="11906" w:h="16838"/>
          <w:pgMar w:top="1440" w:right="1440" w:bottom="1440" w:left="1440" w:header="708" w:footer="708" w:gutter="0"/>
          <w:lnNumType w:countBy="1" w:restart="continuous"/>
          <w:cols w:space="708"/>
          <w:docGrid w:linePitch="360"/>
        </w:sectPr>
      </w:pPr>
      <w:r>
        <w:t>Table S1.</w:t>
      </w:r>
      <w:r w:rsidR="00857B0B">
        <w:t xml:space="preserve"> </w:t>
      </w:r>
      <w:r w:rsidR="00B947D9">
        <w:t>Excel file containing f</w:t>
      </w:r>
      <w:r w:rsidR="00857B0B">
        <w:t xml:space="preserve">ull data matrix for the domains of the </w:t>
      </w:r>
      <w:r w:rsidR="00B947D9">
        <w:t xml:space="preserve">triazole and imidazole categories. </w:t>
      </w:r>
    </w:p>
    <w:p w14:paraId="4FAE0227" w14:textId="509B3CFD" w:rsidR="00054091" w:rsidRDefault="00054091" w:rsidP="004C7B0F">
      <w:pPr>
        <w:spacing w:after="120" w:line="480" w:lineRule="auto"/>
        <w:rPr>
          <w:rFonts w:ascii="Calibri" w:hAnsi="Calibri" w:cs="Calibri"/>
          <w:highlight w:val="lightGray"/>
        </w:rPr>
      </w:pPr>
    </w:p>
    <w:sectPr w:rsidR="00054091" w:rsidSect="00910670">
      <w:type w:val="nextColumn"/>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713F" w14:textId="77777777" w:rsidR="001A7491" w:rsidRDefault="001A7491" w:rsidP="00513FDE">
      <w:pPr>
        <w:spacing w:after="0" w:line="240" w:lineRule="auto"/>
      </w:pPr>
      <w:r>
        <w:separator/>
      </w:r>
    </w:p>
  </w:endnote>
  <w:endnote w:type="continuationSeparator" w:id="0">
    <w:p w14:paraId="74807ADA" w14:textId="77777777" w:rsidR="001A7491" w:rsidRDefault="001A7491" w:rsidP="00513FDE">
      <w:pPr>
        <w:spacing w:after="0" w:line="240" w:lineRule="auto"/>
      </w:pPr>
      <w:r>
        <w:continuationSeparator/>
      </w:r>
    </w:p>
  </w:endnote>
  <w:endnote w:type="continuationNotice" w:id="1">
    <w:p w14:paraId="1BC1DB53" w14:textId="77777777" w:rsidR="001A7491" w:rsidRDefault="001A7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9190"/>
      <w:docPartObj>
        <w:docPartGallery w:val="Page Numbers (Bottom of Page)"/>
        <w:docPartUnique/>
      </w:docPartObj>
    </w:sdtPr>
    <w:sdtEndPr>
      <w:rPr>
        <w:noProof/>
      </w:rPr>
    </w:sdtEndPr>
    <w:sdtContent>
      <w:p w14:paraId="3DC16A92" w14:textId="7A4D2F03" w:rsidR="001C215D" w:rsidRDefault="001C215D">
        <w:pPr>
          <w:pStyle w:val="Footer"/>
          <w:jc w:val="center"/>
        </w:pPr>
        <w:r>
          <w:fldChar w:fldCharType="begin"/>
        </w:r>
        <w:r>
          <w:instrText xml:space="preserve"> PAGE   \* MERGEFORMAT </w:instrText>
        </w:r>
        <w:r>
          <w:fldChar w:fldCharType="separate"/>
        </w:r>
        <w:r w:rsidR="00FE725A">
          <w:rPr>
            <w:noProof/>
          </w:rPr>
          <w:t>2</w:t>
        </w:r>
        <w:r>
          <w:rPr>
            <w:noProof/>
          </w:rPr>
          <w:fldChar w:fldCharType="end"/>
        </w:r>
      </w:p>
    </w:sdtContent>
  </w:sdt>
  <w:p w14:paraId="1A4EB033" w14:textId="77777777" w:rsidR="001C215D" w:rsidRDefault="001C2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C1BA" w14:textId="77777777" w:rsidR="001A7491" w:rsidRDefault="001A7491" w:rsidP="00513FDE">
      <w:pPr>
        <w:spacing w:after="0" w:line="240" w:lineRule="auto"/>
      </w:pPr>
      <w:r>
        <w:separator/>
      </w:r>
    </w:p>
  </w:footnote>
  <w:footnote w:type="continuationSeparator" w:id="0">
    <w:p w14:paraId="051DC307" w14:textId="77777777" w:rsidR="001A7491" w:rsidRDefault="001A7491" w:rsidP="00513FDE">
      <w:pPr>
        <w:spacing w:after="0" w:line="240" w:lineRule="auto"/>
      </w:pPr>
      <w:r>
        <w:continuationSeparator/>
      </w:r>
    </w:p>
  </w:footnote>
  <w:footnote w:type="continuationNotice" w:id="1">
    <w:p w14:paraId="720FD86E" w14:textId="77777777" w:rsidR="001A7491" w:rsidRDefault="001A74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5B57"/>
    <w:multiLevelType w:val="hybridMultilevel"/>
    <w:tmpl w:val="9700795E"/>
    <w:lvl w:ilvl="0" w:tplc="2C508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A3480"/>
    <w:multiLevelType w:val="hybridMultilevel"/>
    <w:tmpl w:val="A8BEEE7A"/>
    <w:lvl w:ilvl="0" w:tplc="08090013">
      <w:start w:val="1"/>
      <w:numFmt w:val="upperRoman"/>
      <w:lvlText w:val="%1."/>
      <w:lvlJc w:val="right"/>
      <w:pPr>
        <w:ind w:left="405" w:hanging="360"/>
      </w:pPr>
      <w:rPr>
        <w:rFonts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228E5CA9"/>
    <w:multiLevelType w:val="hybridMultilevel"/>
    <w:tmpl w:val="0B80AC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E1AFD"/>
    <w:multiLevelType w:val="multilevel"/>
    <w:tmpl w:val="3336003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187546B"/>
    <w:multiLevelType w:val="hybridMultilevel"/>
    <w:tmpl w:val="9C5043D4"/>
    <w:lvl w:ilvl="0" w:tplc="E6784FBA">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B663D"/>
    <w:multiLevelType w:val="hybridMultilevel"/>
    <w:tmpl w:val="C8EA5A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06543"/>
    <w:multiLevelType w:val="hybridMultilevel"/>
    <w:tmpl w:val="F6745456"/>
    <w:lvl w:ilvl="0" w:tplc="2C508916">
      <w:start w:val="1"/>
      <w:numFmt w:val="lowerRoman"/>
      <w:lvlText w:val="%1)"/>
      <w:lvlJc w:val="left"/>
      <w:pPr>
        <w:ind w:left="405" w:hanging="360"/>
      </w:pPr>
      <w:rPr>
        <w:rFonts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51AC69AD"/>
    <w:multiLevelType w:val="hybridMultilevel"/>
    <w:tmpl w:val="345E49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43567"/>
    <w:multiLevelType w:val="multilevel"/>
    <w:tmpl w:val="3AF63C5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3042CB3"/>
    <w:multiLevelType w:val="hybridMultilevel"/>
    <w:tmpl w:val="F8881FA2"/>
    <w:lvl w:ilvl="0" w:tplc="E6784FBA">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3"/>
  </w:num>
  <w:num w:numId="6">
    <w:abstractNumId w:val="7"/>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A1"/>
    <w:rsid w:val="0000028B"/>
    <w:rsid w:val="0000173D"/>
    <w:rsid w:val="00003CA7"/>
    <w:rsid w:val="00007A5C"/>
    <w:rsid w:val="00010EF7"/>
    <w:rsid w:val="000112BE"/>
    <w:rsid w:val="00011E75"/>
    <w:rsid w:val="0001381D"/>
    <w:rsid w:val="000144B4"/>
    <w:rsid w:val="000147A5"/>
    <w:rsid w:val="00014E09"/>
    <w:rsid w:val="00017DE9"/>
    <w:rsid w:val="000202A1"/>
    <w:rsid w:val="00022A64"/>
    <w:rsid w:val="00026968"/>
    <w:rsid w:val="000279CD"/>
    <w:rsid w:val="000314A7"/>
    <w:rsid w:val="00036076"/>
    <w:rsid w:val="00036398"/>
    <w:rsid w:val="00040ECE"/>
    <w:rsid w:val="00041460"/>
    <w:rsid w:val="00041AEF"/>
    <w:rsid w:val="00041D38"/>
    <w:rsid w:val="00045891"/>
    <w:rsid w:val="0004673C"/>
    <w:rsid w:val="00047856"/>
    <w:rsid w:val="0004794A"/>
    <w:rsid w:val="000503E7"/>
    <w:rsid w:val="00050C98"/>
    <w:rsid w:val="00051B51"/>
    <w:rsid w:val="0005218D"/>
    <w:rsid w:val="00054091"/>
    <w:rsid w:val="00054EC1"/>
    <w:rsid w:val="000564BF"/>
    <w:rsid w:val="000566BF"/>
    <w:rsid w:val="00056CBF"/>
    <w:rsid w:val="00056FC1"/>
    <w:rsid w:val="00060808"/>
    <w:rsid w:val="000621C4"/>
    <w:rsid w:val="000624DC"/>
    <w:rsid w:val="000659B0"/>
    <w:rsid w:val="000708EE"/>
    <w:rsid w:val="00072BCF"/>
    <w:rsid w:val="0007327B"/>
    <w:rsid w:val="000732EC"/>
    <w:rsid w:val="00073EDF"/>
    <w:rsid w:val="00075D68"/>
    <w:rsid w:val="00075FAE"/>
    <w:rsid w:val="0007613D"/>
    <w:rsid w:val="000772C3"/>
    <w:rsid w:val="0008082C"/>
    <w:rsid w:val="00083BCA"/>
    <w:rsid w:val="00086610"/>
    <w:rsid w:val="00090388"/>
    <w:rsid w:val="0009084F"/>
    <w:rsid w:val="0009219D"/>
    <w:rsid w:val="00092A20"/>
    <w:rsid w:val="000933E7"/>
    <w:rsid w:val="0009743D"/>
    <w:rsid w:val="000A2243"/>
    <w:rsid w:val="000A36C9"/>
    <w:rsid w:val="000A61F8"/>
    <w:rsid w:val="000B0604"/>
    <w:rsid w:val="000B3B62"/>
    <w:rsid w:val="000B3E3C"/>
    <w:rsid w:val="000B4A14"/>
    <w:rsid w:val="000B50CA"/>
    <w:rsid w:val="000B548B"/>
    <w:rsid w:val="000B6F3E"/>
    <w:rsid w:val="000B7B38"/>
    <w:rsid w:val="000C00DA"/>
    <w:rsid w:val="000C3139"/>
    <w:rsid w:val="000C4247"/>
    <w:rsid w:val="000C446A"/>
    <w:rsid w:val="000C52DF"/>
    <w:rsid w:val="000C5651"/>
    <w:rsid w:val="000C5DC8"/>
    <w:rsid w:val="000C7FB1"/>
    <w:rsid w:val="000D05A3"/>
    <w:rsid w:val="000D102D"/>
    <w:rsid w:val="000D133F"/>
    <w:rsid w:val="000D14F6"/>
    <w:rsid w:val="000D2B3E"/>
    <w:rsid w:val="000D3075"/>
    <w:rsid w:val="000D413D"/>
    <w:rsid w:val="000D4AA6"/>
    <w:rsid w:val="000D4B38"/>
    <w:rsid w:val="000D5076"/>
    <w:rsid w:val="000D7BD2"/>
    <w:rsid w:val="000E19F1"/>
    <w:rsid w:val="000E1B1B"/>
    <w:rsid w:val="000E3296"/>
    <w:rsid w:val="000E714A"/>
    <w:rsid w:val="000F1EF7"/>
    <w:rsid w:val="000F28D2"/>
    <w:rsid w:val="000F2D34"/>
    <w:rsid w:val="000F419A"/>
    <w:rsid w:val="000F5A28"/>
    <w:rsid w:val="000F6015"/>
    <w:rsid w:val="001002AF"/>
    <w:rsid w:val="0010116C"/>
    <w:rsid w:val="0010162E"/>
    <w:rsid w:val="00105140"/>
    <w:rsid w:val="00105A49"/>
    <w:rsid w:val="00110169"/>
    <w:rsid w:val="00110C75"/>
    <w:rsid w:val="00112CEB"/>
    <w:rsid w:val="00114189"/>
    <w:rsid w:val="00114520"/>
    <w:rsid w:val="001145B7"/>
    <w:rsid w:val="00115811"/>
    <w:rsid w:val="001161B9"/>
    <w:rsid w:val="00122916"/>
    <w:rsid w:val="00123101"/>
    <w:rsid w:val="00124A4D"/>
    <w:rsid w:val="00125428"/>
    <w:rsid w:val="00125D83"/>
    <w:rsid w:val="001261ED"/>
    <w:rsid w:val="001267AF"/>
    <w:rsid w:val="00126AF3"/>
    <w:rsid w:val="00127BAA"/>
    <w:rsid w:val="0013100D"/>
    <w:rsid w:val="00137354"/>
    <w:rsid w:val="0013747A"/>
    <w:rsid w:val="00141F92"/>
    <w:rsid w:val="00143905"/>
    <w:rsid w:val="00144595"/>
    <w:rsid w:val="001447B1"/>
    <w:rsid w:val="001457E6"/>
    <w:rsid w:val="00145811"/>
    <w:rsid w:val="001522F7"/>
    <w:rsid w:val="001537F8"/>
    <w:rsid w:val="00154DC3"/>
    <w:rsid w:val="00155A46"/>
    <w:rsid w:val="001566A6"/>
    <w:rsid w:val="00156B03"/>
    <w:rsid w:val="00160375"/>
    <w:rsid w:val="00161709"/>
    <w:rsid w:val="00161F6A"/>
    <w:rsid w:val="00163722"/>
    <w:rsid w:val="001667C4"/>
    <w:rsid w:val="00166D7A"/>
    <w:rsid w:val="00167EE7"/>
    <w:rsid w:val="00170E6B"/>
    <w:rsid w:val="00173784"/>
    <w:rsid w:val="00173D96"/>
    <w:rsid w:val="00173FEB"/>
    <w:rsid w:val="001742CA"/>
    <w:rsid w:val="00175339"/>
    <w:rsid w:val="001809D3"/>
    <w:rsid w:val="00184573"/>
    <w:rsid w:val="001851CA"/>
    <w:rsid w:val="0018796C"/>
    <w:rsid w:val="00191DF3"/>
    <w:rsid w:val="001923B6"/>
    <w:rsid w:val="0019655C"/>
    <w:rsid w:val="001A1D1A"/>
    <w:rsid w:val="001A2034"/>
    <w:rsid w:val="001A2899"/>
    <w:rsid w:val="001A3DC5"/>
    <w:rsid w:val="001A7491"/>
    <w:rsid w:val="001B0416"/>
    <w:rsid w:val="001B0BF4"/>
    <w:rsid w:val="001B1252"/>
    <w:rsid w:val="001B1BC5"/>
    <w:rsid w:val="001B2441"/>
    <w:rsid w:val="001B42CB"/>
    <w:rsid w:val="001B5F90"/>
    <w:rsid w:val="001B5F99"/>
    <w:rsid w:val="001B67A5"/>
    <w:rsid w:val="001B6A77"/>
    <w:rsid w:val="001B768D"/>
    <w:rsid w:val="001B7A11"/>
    <w:rsid w:val="001C215D"/>
    <w:rsid w:val="001C3A33"/>
    <w:rsid w:val="001C3A92"/>
    <w:rsid w:val="001C4C1C"/>
    <w:rsid w:val="001C548F"/>
    <w:rsid w:val="001C5A5F"/>
    <w:rsid w:val="001C6685"/>
    <w:rsid w:val="001C6983"/>
    <w:rsid w:val="001C6E47"/>
    <w:rsid w:val="001C70F0"/>
    <w:rsid w:val="001C734F"/>
    <w:rsid w:val="001D35BC"/>
    <w:rsid w:val="001D3761"/>
    <w:rsid w:val="001D51F1"/>
    <w:rsid w:val="001D6B59"/>
    <w:rsid w:val="001D75A0"/>
    <w:rsid w:val="001E04CC"/>
    <w:rsid w:val="001E0661"/>
    <w:rsid w:val="001E09E6"/>
    <w:rsid w:val="001E1FA5"/>
    <w:rsid w:val="001E25C4"/>
    <w:rsid w:val="001E2A19"/>
    <w:rsid w:val="001E5FD5"/>
    <w:rsid w:val="001E6516"/>
    <w:rsid w:val="001E65CC"/>
    <w:rsid w:val="001F22CF"/>
    <w:rsid w:val="001F3C54"/>
    <w:rsid w:val="001F4335"/>
    <w:rsid w:val="001F540F"/>
    <w:rsid w:val="002004A7"/>
    <w:rsid w:val="002006F8"/>
    <w:rsid w:val="00201FE1"/>
    <w:rsid w:val="00202274"/>
    <w:rsid w:val="00202F32"/>
    <w:rsid w:val="00204809"/>
    <w:rsid w:val="00204E0C"/>
    <w:rsid w:val="00206083"/>
    <w:rsid w:val="002105FA"/>
    <w:rsid w:val="002110DF"/>
    <w:rsid w:val="00212ED6"/>
    <w:rsid w:val="0021321F"/>
    <w:rsid w:val="0021352D"/>
    <w:rsid w:val="00214742"/>
    <w:rsid w:val="002149E7"/>
    <w:rsid w:val="00214F8C"/>
    <w:rsid w:val="002154CB"/>
    <w:rsid w:val="002175A3"/>
    <w:rsid w:val="002179C3"/>
    <w:rsid w:val="00217D4B"/>
    <w:rsid w:val="00220FDF"/>
    <w:rsid w:val="0022109C"/>
    <w:rsid w:val="002229BC"/>
    <w:rsid w:val="00222DDE"/>
    <w:rsid w:val="00224225"/>
    <w:rsid w:val="00226182"/>
    <w:rsid w:val="00231132"/>
    <w:rsid w:val="00233AC7"/>
    <w:rsid w:val="002356EC"/>
    <w:rsid w:val="00235F61"/>
    <w:rsid w:val="002364AE"/>
    <w:rsid w:val="0024103B"/>
    <w:rsid w:val="00242DC6"/>
    <w:rsid w:val="00242ED1"/>
    <w:rsid w:val="00243061"/>
    <w:rsid w:val="002436E1"/>
    <w:rsid w:val="00244784"/>
    <w:rsid w:val="00245E76"/>
    <w:rsid w:val="0024636C"/>
    <w:rsid w:val="002465CE"/>
    <w:rsid w:val="0025008F"/>
    <w:rsid w:val="00255089"/>
    <w:rsid w:val="00255928"/>
    <w:rsid w:val="00257B88"/>
    <w:rsid w:val="002620D2"/>
    <w:rsid w:val="00262FFE"/>
    <w:rsid w:val="00263756"/>
    <w:rsid w:val="00264CCD"/>
    <w:rsid w:val="00265AA2"/>
    <w:rsid w:val="0027320D"/>
    <w:rsid w:val="00275C0D"/>
    <w:rsid w:val="00276762"/>
    <w:rsid w:val="0028165F"/>
    <w:rsid w:val="002821A6"/>
    <w:rsid w:val="00282D46"/>
    <w:rsid w:val="0028386A"/>
    <w:rsid w:val="00284701"/>
    <w:rsid w:val="00284AA3"/>
    <w:rsid w:val="00285EEA"/>
    <w:rsid w:val="00290A04"/>
    <w:rsid w:val="002913D7"/>
    <w:rsid w:val="002915C1"/>
    <w:rsid w:val="00292E47"/>
    <w:rsid w:val="00293DF6"/>
    <w:rsid w:val="00297D47"/>
    <w:rsid w:val="002A00FF"/>
    <w:rsid w:val="002A185E"/>
    <w:rsid w:val="002A1992"/>
    <w:rsid w:val="002A25E3"/>
    <w:rsid w:val="002A3AB5"/>
    <w:rsid w:val="002A432A"/>
    <w:rsid w:val="002A49EC"/>
    <w:rsid w:val="002A6DE0"/>
    <w:rsid w:val="002B065D"/>
    <w:rsid w:val="002B166F"/>
    <w:rsid w:val="002B1EFF"/>
    <w:rsid w:val="002B259B"/>
    <w:rsid w:val="002B26C5"/>
    <w:rsid w:val="002B32F4"/>
    <w:rsid w:val="002B6062"/>
    <w:rsid w:val="002B6FD7"/>
    <w:rsid w:val="002B71E5"/>
    <w:rsid w:val="002B7F51"/>
    <w:rsid w:val="002C0FF0"/>
    <w:rsid w:val="002C2451"/>
    <w:rsid w:val="002C25EC"/>
    <w:rsid w:val="002C3266"/>
    <w:rsid w:val="002C4181"/>
    <w:rsid w:val="002C6136"/>
    <w:rsid w:val="002C77D9"/>
    <w:rsid w:val="002D33D5"/>
    <w:rsid w:val="002E0099"/>
    <w:rsid w:val="002E014E"/>
    <w:rsid w:val="002E10D7"/>
    <w:rsid w:val="002E2239"/>
    <w:rsid w:val="002E2F63"/>
    <w:rsid w:val="002E473A"/>
    <w:rsid w:val="002E4FF0"/>
    <w:rsid w:val="002E59F0"/>
    <w:rsid w:val="002F03CE"/>
    <w:rsid w:val="002F084E"/>
    <w:rsid w:val="002F25A5"/>
    <w:rsid w:val="002F3CB7"/>
    <w:rsid w:val="002F3D29"/>
    <w:rsid w:val="002F6045"/>
    <w:rsid w:val="002F7988"/>
    <w:rsid w:val="003005AB"/>
    <w:rsid w:val="00300F44"/>
    <w:rsid w:val="00301360"/>
    <w:rsid w:val="003031C6"/>
    <w:rsid w:val="00303488"/>
    <w:rsid w:val="003042AC"/>
    <w:rsid w:val="00305C0E"/>
    <w:rsid w:val="0030608E"/>
    <w:rsid w:val="00310852"/>
    <w:rsid w:val="00310F96"/>
    <w:rsid w:val="00315751"/>
    <w:rsid w:val="00315BEE"/>
    <w:rsid w:val="00323772"/>
    <w:rsid w:val="0032575B"/>
    <w:rsid w:val="00326097"/>
    <w:rsid w:val="0032630D"/>
    <w:rsid w:val="003273C8"/>
    <w:rsid w:val="00330120"/>
    <w:rsid w:val="0033030F"/>
    <w:rsid w:val="00330C2F"/>
    <w:rsid w:val="00330D65"/>
    <w:rsid w:val="003324CE"/>
    <w:rsid w:val="00333103"/>
    <w:rsid w:val="0033366B"/>
    <w:rsid w:val="00335F99"/>
    <w:rsid w:val="0033601A"/>
    <w:rsid w:val="00336275"/>
    <w:rsid w:val="00336A79"/>
    <w:rsid w:val="00337EEF"/>
    <w:rsid w:val="003410EA"/>
    <w:rsid w:val="003449D4"/>
    <w:rsid w:val="003453EE"/>
    <w:rsid w:val="00345CA4"/>
    <w:rsid w:val="003503DC"/>
    <w:rsid w:val="00351C8F"/>
    <w:rsid w:val="003529F8"/>
    <w:rsid w:val="00353B49"/>
    <w:rsid w:val="0035640A"/>
    <w:rsid w:val="003575C2"/>
    <w:rsid w:val="0036154D"/>
    <w:rsid w:val="00362403"/>
    <w:rsid w:val="00362684"/>
    <w:rsid w:val="0036341C"/>
    <w:rsid w:val="003702B0"/>
    <w:rsid w:val="00370490"/>
    <w:rsid w:val="003717D4"/>
    <w:rsid w:val="0037460B"/>
    <w:rsid w:val="00375AD9"/>
    <w:rsid w:val="00375C6B"/>
    <w:rsid w:val="00375CFF"/>
    <w:rsid w:val="00376719"/>
    <w:rsid w:val="00381BB1"/>
    <w:rsid w:val="0038375D"/>
    <w:rsid w:val="0038703E"/>
    <w:rsid w:val="00390778"/>
    <w:rsid w:val="003910A7"/>
    <w:rsid w:val="003933D2"/>
    <w:rsid w:val="00394508"/>
    <w:rsid w:val="003948FD"/>
    <w:rsid w:val="00394B53"/>
    <w:rsid w:val="003964AE"/>
    <w:rsid w:val="00396D14"/>
    <w:rsid w:val="00396DE9"/>
    <w:rsid w:val="003A0479"/>
    <w:rsid w:val="003A0A05"/>
    <w:rsid w:val="003A11E6"/>
    <w:rsid w:val="003A177B"/>
    <w:rsid w:val="003A2DCF"/>
    <w:rsid w:val="003A463B"/>
    <w:rsid w:val="003A6CD1"/>
    <w:rsid w:val="003A76D5"/>
    <w:rsid w:val="003A771F"/>
    <w:rsid w:val="003A77DC"/>
    <w:rsid w:val="003B20E6"/>
    <w:rsid w:val="003B2131"/>
    <w:rsid w:val="003B7D1D"/>
    <w:rsid w:val="003C0FC5"/>
    <w:rsid w:val="003C1AA6"/>
    <w:rsid w:val="003C24CF"/>
    <w:rsid w:val="003C2B43"/>
    <w:rsid w:val="003C47C2"/>
    <w:rsid w:val="003C7629"/>
    <w:rsid w:val="003C7D17"/>
    <w:rsid w:val="003D09D0"/>
    <w:rsid w:val="003D0D16"/>
    <w:rsid w:val="003D265B"/>
    <w:rsid w:val="003D2682"/>
    <w:rsid w:val="003D35E9"/>
    <w:rsid w:val="003E178F"/>
    <w:rsid w:val="003E201B"/>
    <w:rsid w:val="003E271F"/>
    <w:rsid w:val="003E45F5"/>
    <w:rsid w:val="003E4C04"/>
    <w:rsid w:val="003E5E45"/>
    <w:rsid w:val="003E6E81"/>
    <w:rsid w:val="003E7544"/>
    <w:rsid w:val="003F055D"/>
    <w:rsid w:val="003F10FF"/>
    <w:rsid w:val="003F316E"/>
    <w:rsid w:val="003F5D53"/>
    <w:rsid w:val="003F74A9"/>
    <w:rsid w:val="0040027D"/>
    <w:rsid w:val="0040066A"/>
    <w:rsid w:val="00400D91"/>
    <w:rsid w:val="00401DB2"/>
    <w:rsid w:val="004031E2"/>
    <w:rsid w:val="00403EB1"/>
    <w:rsid w:val="0040403C"/>
    <w:rsid w:val="00406D72"/>
    <w:rsid w:val="0040754F"/>
    <w:rsid w:val="00414678"/>
    <w:rsid w:val="0041658F"/>
    <w:rsid w:val="004172E3"/>
    <w:rsid w:val="004206C9"/>
    <w:rsid w:val="004208E0"/>
    <w:rsid w:val="004215BD"/>
    <w:rsid w:val="00421D61"/>
    <w:rsid w:val="00422843"/>
    <w:rsid w:val="00422E98"/>
    <w:rsid w:val="00423554"/>
    <w:rsid w:val="004241F5"/>
    <w:rsid w:val="004258FA"/>
    <w:rsid w:val="004272D8"/>
    <w:rsid w:val="004279F0"/>
    <w:rsid w:val="00427C96"/>
    <w:rsid w:val="00432D49"/>
    <w:rsid w:val="00435B42"/>
    <w:rsid w:val="00435F3D"/>
    <w:rsid w:val="004365AD"/>
    <w:rsid w:val="004436E9"/>
    <w:rsid w:val="00443BB2"/>
    <w:rsid w:val="004525DF"/>
    <w:rsid w:val="00452744"/>
    <w:rsid w:val="00452B74"/>
    <w:rsid w:val="00454620"/>
    <w:rsid w:val="00454F89"/>
    <w:rsid w:val="0046005F"/>
    <w:rsid w:val="00461997"/>
    <w:rsid w:val="00463087"/>
    <w:rsid w:val="00463416"/>
    <w:rsid w:val="004639E8"/>
    <w:rsid w:val="00464D79"/>
    <w:rsid w:val="00466677"/>
    <w:rsid w:val="004676FC"/>
    <w:rsid w:val="0047022D"/>
    <w:rsid w:val="00470624"/>
    <w:rsid w:val="0047085F"/>
    <w:rsid w:val="004721FC"/>
    <w:rsid w:val="00473459"/>
    <w:rsid w:val="004754E8"/>
    <w:rsid w:val="004773FA"/>
    <w:rsid w:val="00477E47"/>
    <w:rsid w:val="004808A3"/>
    <w:rsid w:val="0048387A"/>
    <w:rsid w:val="00484CFB"/>
    <w:rsid w:val="0048571B"/>
    <w:rsid w:val="00490079"/>
    <w:rsid w:val="00492138"/>
    <w:rsid w:val="00492C41"/>
    <w:rsid w:val="00492D22"/>
    <w:rsid w:val="00493B56"/>
    <w:rsid w:val="004962B5"/>
    <w:rsid w:val="00497762"/>
    <w:rsid w:val="004A02BB"/>
    <w:rsid w:val="004A1828"/>
    <w:rsid w:val="004A1EA8"/>
    <w:rsid w:val="004A2690"/>
    <w:rsid w:val="004A4AA0"/>
    <w:rsid w:val="004A7309"/>
    <w:rsid w:val="004A7693"/>
    <w:rsid w:val="004A7BDA"/>
    <w:rsid w:val="004A7CE5"/>
    <w:rsid w:val="004A7D62"/>
    <w:rsid w:val="004B17E3"/>
    <w:rsid w:val="004B29D1"/>
    <w:rsid w:val="004B4515"/>
    <w:rsid w:val="004B68BF"/>
    <w:rsid w:val="004B6C4B"/>
    <w:rsid w:val="004B6CE3"/>
    <w:rsid w:val="004B7143"/>
    <w:rsid w:val="004C134E"/>
    <w:rsid w:val="004C1874"/>
    <w:rsid w:val="004C2942"/>
    <w:rsid w:val="004C3268"/>
    <w:rsid w:val="004C3D46"/>
    <w:rsid w:val="004C723B"/>
    <w:rsid w:val="004C7B0F"/>
    <w:rsid w:val="004C7E09"/>
    <w:rsid w:val="004D06F7"/>
    <w:rsid w:val="004D31DB"/>
    <w:rsid w:val="004D3363"/>
    <w:rsid w:val="004D47CA"/>
    <w:rsid w:val="004D4811"/>
    <w:rsid w:val="004D4F62"/>
    <w:rsid w:val="004D506F"/>
    <w:rsid w:val="004D72F9"/>
    <w:rsid w:val="004E06D5"/>
    <w:rsid w:val="004E1244"/>
    <w:rsid w:val="004E214A"/>
    <w:rsid w:val="004E2EF5"/>
    <w:rsid w:val="004F01EF"/>
    <w:rsid w:val="004F4385"/>
    <w:rsid w:val="004F4AB0"/>
    <w:rsid w:val="005006B8"/>
    <w:rsid w:val="00500B16"/>
    <w:rsid w:val="005025D6"/>
    <w:rsid w:val="005028C3"/>
    <w:rsid w:val="00502A34"/>
    <w:rsid w:val="00505ABC"/>
    <w:rsid w:val="0050709D"/>
    <w:rsid w:val="00507131"/>
    <w:rsid w:val="00507C45"/>
    <w:rsid w:val="00511169"/>
    <w:rsid w:val="00511C0E"/>
    <w:rsid w:val="00512F88"/>
    <w:rsid w:val="00513790"/>
    <w:rsid w:val="00513FDE"/>
    <w:rsid w:val="0051406E"/>
    <w:rsid w:val="00514F75"/>
    <w:rsid w:val="0051601B"/>
    <w:rsid w:val="00517B23"/>
    <w:rsid w:val="0052059A"/>
    <w:rsid w:val="00523B1C"/>
    <w:rsid w:val="0052493A"/>
    <w:rsid w:val="00525E88"/>
    <w:rsid w:val="0052654C"/>
    <w:rsid w:val="0052718A"/>
    <w:rsid w:val="0052771B"/>
    <w:rsid w:val="00531CD5"/>
    <w:rsid w:val="00531DD4"/>
    <w:rsid w:val="00532D3C"/>
    <w:rsid w:val="00533AE4"/>
    <w:rsid w:val="005366A6"/>
    <w:rsid w:val="00537902"/>
    <w:rsid w:val="00541304"/>
    <w:rsid w:val="00541A77"/>
    <w:rsid w:val="00541A87"/>
    <w:rsid w:val="00541D5C"/>
    <w:rsid w:val="005435E4"/>
    <w:rsid w:val="005472D9"/>
    <w:rsid w:val="0054795A"/>
    <w:rsid w:val="00552158"/>
    <w:rsid w:val="005560EB"/>
    <w:rsid w:val="00561658"/>
    <w:rsid w:val="00562B64"/>
    <w:rsid w:val="00563975"/>
    <w:rsid w:val="005644BB"/>
    <w:rsid w:val="0056521A"/>
    <w:rsid w:val="00566A70"/>
    <w:rsid w:val="00566AB5"/>
    <w:rsid w:val="00566DCE"/>
    <w:rsid w:val="00570E08"/>
    <w:rsid w:val="005715E7"/>
    <w:rsid w:val="00572C51"/>
    <w:rsid w:val="005748C4"/>
    <w:rsid w:val="005771DC"/>
    <w:rsid w:val="005773D4"/>
    <w:rsid w:val="00577FEF"/>
    <w:rsid w:val="00581E7A"/>
    <w:rsid w:val="00582C0E"/>
    <w:rsid w:val="005851E8"/>
    <w:rsid w:val="005877B7"/>
    <w:rsid w:val="0059107F"/>
    <w:rsid w:val="005912B9"/>
    <w:rsid w:val="00593826"/>
    <w:rsid w:val="0059647C"/>
    <w:rsid w:val="00596C4F"/>
    <w:rsid w:val="005A266E"/>
    <w:rsid w:val="005A53AA"/>
    <w:rsid w:val="005B0412"/>
    <w:rsid w:val="005B04D7"/>
    <w:rsid w:val="005B0E6F"/>
    <w:rsid w:val="005B347C"/>
    <w:rsid w:val="005B39CD"/>
    <w:rsid w:val="005B4134"/>
    <w:rsid w:val="005B5482"/>
    <w:rsid w:val="005B7121"/>
    <w:rsid w:val="005C188C"/>
    <w:rsid w:val="005C1897"/>
    <w:rsid w:val="005C1FDA"/>
    <w:rsid w:val="005C2F0C"/>
    <w:rsid w:val="005C4A31"/>
    <w:rsid w:val="005C4AF6"/>
    <w:rsid w:val="005C6362"/>
    <w:rsid w:val="005D2C14"/>
    <w:rsid w:val="005D33BA"/>
    <w:rsid w:val="005D51C2"/>
    <w:rsid w:val="005D55E6"/>
    <w:rsid w:val="005D7238"/>
    <w:rsid w:val="005E009E"/>
    <w:rsid w:val="005E07AA"/>
    <w:rsid w:val="005E583F"/>
    <w:rsid w:val="005E713B"/>
    <w:rsid w:val="005E7FEC"/>
    <w:rsid w:val="005F168C"/>
    <w:rsid w:val="005F1B60"/>
    <w:rsid w:val="005F232C"/>
    <w:rsid w:val="005F3AB9"/>
    <w:rsid w:val="005F7EE9"/>
    <w:rsid w:val="006005F6"/>
    <w:rsid w:val="00601A26"/>
    <w:rsid w:val="006036F7"/>
    <w:rsid w:val="00603D90"/>
    <w:rsid w:val="00605ADC"/>
    <w:rsid w:val="006069F0"/>
    <w:rsid w:val="00607746"/>
    <w:rsid w:val="006100D6"/>
    <w:rsid w:val="006103F2"/>
    <w:rsid w:val="006125DE"/>
    <w:rsid w:val="00613A64"/>
    <w:rsid w:val="006146CB"/>
    <w:rsid w:val="00614769"/>
    <w:rsid w:val="00617B4B"/>
    <w:rsid w:val="00620530"/>
    <w:rsid w:val="00620564"/>
    <w:rsid w:val="006210F3"/>
    <w:rsid w:val="0062176C"/>
    <w:rsid w:val="006244F3"/>
    <w:rsid w:val="00624569"/>
    <w:rsid w:val="0062655C"/>
    <w:rsid w:val="00626E97"/>
    <w:rsid w:val="00627038"/>
    <w:rsid w:val="0063028D"/>
    <w:rsid w:val="00631301"/>
    <w:rsid w:val="006360F1"/>
    <w:rsid w:val="006361A5"/>
    <w:rsid w:val="0063718F"/>
    <w:rsid w:val="006375A8"/>
    <w:rsid w:val="0064120F"/>
    <w:rsid w:val="00641221"/>
    <w:rsid w:val="006413AA"/>
    <w:rsid w:val="00641B14"/>
    <w:rsid w:val="00641F89"/>
    <w:rsid w:val="006422F3"/>
    <w:rsid w:val="00642D73"/>
    <w:rsid w:val="006447AA"/>
    <w:rsid w:val="00644B61"/>
    <w:rsid w:val="00645DBC"/>
    <w:rsid w:val="006465E1"/>
    <w:rsid w:val="00646A06"/>
    <w:rsid w:val="00646B7A"/>
    <w:rsid w:val="00646BAC"/>
    <w:rsid w:val="00646C78"/>
    <w:rsid w:val="006527E3"/>
    <w:rsid w:val="00653596"/>
    <w:rsid w:val="00655AF8"/>
    <w:rsid w:val="00661B88"/>
    <w:rsid w:val="00661F3B"/>
    <w:rsid w:val="00664560"/>
    <w:rsid w:val="006666D5"/>
    <w:rsid w:val="00666870"/>
    <w:rsid w:val="00670069"/>
    <w:rsid w:val="00670E2F"/>
    <w:rsid w:val="0067170E"/>
    <w:rsid w:val="00671A13"/>
    <w:rsid w:val="006722D6"/>
    <w:rsid w:val="00672883"/>
    <w:rsid w:val="00672B92"/>
    <w:rsid w:val="00672C2F"/>
    <w:rsid w:val="0067478C"/>
    <w:rsid w:val="00674858"/>
    <w:rsid w:val="00675072"/>
    <w:rsid w:val="00675C71"/>
    <w:rsid w:val="006763EA"/>
    <w:rsid w:val="006764A4"/>
    <w:rsid w:val="00676A85"/>
    <w:rsid w:val="006770D8"/>
    <w:rsid w:val="00677998"/>
    <w:rsid w:val="00680449"/>
    <w:rsid w:val="00681014"/>
    <w:rsid w:val="006827A6"/>
    <w:rsid w:val="00685A95"/>
    <w:rsid w:val="006878F7"/>
    <w:rsid w:val="00687FE3"/>
    <w:rsid w:val="00690D62"/>
    <w:rsid w:val="00690DC1"/>
    <w:rsid w:val="00691019"/>
    <w:rsid w:val="00691023"/>
    <w:rsid w:val="00691D6A"/>
    <w:rsid w:val="0069296E"/>
    <w:rsid w:val="006938F6"/>
    <w:rsid w:val="00695E4D"/>
    <w:rsid w:val="006A1718"/>
    <w:rsid w:val="006A1C9C"/>
    <w:rsid w:val="006A4FF9"/>
    <w:rsid w:val="006A641D"/>
    <w:rsid w:val="006A6899"/>
    <w:rsid w:val="006A79EB"/>
    <w:rsid w:val="006B238B"/>
    <w:rsid w:val="006B26EE"/>
    <w:rsid w:val="006B27F8"/>
    <w:rsid w:val="006B43DB"/>
    <w:rsid w:val="006B465A"/>
    <w:rsid w:val="006B561C"/>
    <w:rsid w:val="006C1004"/>
    <w:rsid w:val="006C1808"/>
    <w:rsid w:val="006C1A2F"/>
    <w:rsid w:val="006C2B1C"/>
    <w:rsid w:val="006C608B"/>
    <w:rsid w:val="006C798A"/>
    <w:rsid w:val="006C7E4C"/>
    <w:rsid w:val="006D00BB"/>
    <w:rsid w:val="006D38E6"/>
    <w:rsid w:val="006D5EE7"/>
    <w:rsid w:val="006D7F9F"/>
    <w:rsid w:val="006E0E18"/>
    <w:rsid w:val="006E167D"/>
    <w:rsid w:val="006E28EC"/>
    <w:rsid w:val="006E303B"/>
    <w:rsid w:val="006E4C2C"/>
    <w:rsid w:val="006E4FCF"/>
    <w:rsid w:val="006E5ECE"/>
    <w:rsid w:val="006E6542"/>
    <w:rsid w:val="006E6618"/>
    <w:rsid w:val="006F0C1B"/>
    <w:rsid w:val="006F1D80"/>
    <w:rsid w:val="006F2531"/>
    <w:rsid w:val="006F2615"/>
    <w:rsid w:val="006F3052"/>
    <w:rsid w:val="006F4CA1"/>
    <w:rsid w:val="006F5774"/>
    <w:rsid w:val="006F63CC"/>
    <w:rsid w:val="006F6794"/>
    <w:rsid w:val="006F74BF"/>
    <w:rsid w:val="00700C56"/>
    <w:rsid w:val="00701326"/>
    <w:rsid w:val="00702445"/>
    <w:rsid w:val="007031A5"/>
    <w:rsid w:val="00706072"/>
    <w:rsid w:val="007068EF"/>
    <w:rsid w:val="007110CD"/>
    <w:rsid w:val="0071188B"/>
    <w:rsid w:val="007118B1"/>
    <w:rsid w:val="00711B95"/>
    <w:rsid w:val="00711DD2"/>
    <w:rsid w:val="0071288C"/>
    <w:rsid w:val="007135F5"/>
    <w:rsid w:val="00713B44"/>
    <w:rsid w:val="0071431E"/>
    <w:rsid w:val="00714DF5"/>
    <w:rsid w:val="00715242"/>
    <w:rsid w:val="007156E2"/>
    <w:rsid w:val="00715B3A"/>
    <w:rsid w:val="00715FED"/>
    <w:rsid w:val="00722794"/>
    <w:rsid w:val="0072282D"/>
    <w:rsid w:val="00722DA6"/>
    <w:rsid w:val="00726BB5"/>
    <w:rsid w:val="007311BF"/>
    <w:rsid w:val="00732995"/>
    <w:rsid w:val="00732B6F"/>
    <w:rsid w:val="007334BA"/>
    <w:rsid w:val="007336E7"/>
    <w:rsid w:val="00733749"/>
    <w:rsid w:val="00733A4F"/>
    <w:rsid w:val="007347D9"/>
    <w:rsid w:val="00735328"/>
    <w:rsid w:val="007358F2"/>
    <w:rsid w:val="00736EAB"/>
    <w:rsid w:val="00740EBB"/>
    <w:rsid w:val="00741EEE"/>
    <w:rsid w:val="007425B7"/>
    <w:rsid w:val="007425C7"/>
    <w:rsid w:val="007430C1"/>
    <w:rsid w:val="00743CAE"/>
    <w:rsid w:val="007450E9"/>
    <w:rsid w:val="0074636C"/>
    <w:rsid w:val="007471CF"/>
    <w:rsid w:val="007524C5"/>
    <w:rsid w:val="00752A8F"/>
    <w:rsid w:val="0075637E"/>
    <w:rsid w:val="00760E22"/>
    <w:rsid w:val="00761751"/>
    <w:rsid w:val="00763824"/>
    <w:rsid w:val="00764EA4"/>
    <w:rsid w:val="007660FD"/>
    <w:rsid w:val="00767040"/>
    <w:rsid w:val="00772D31"/>
    <w:rsid w:val="00773052"/>
    <w:rsid w:val="00773723"/>
    <w:rsid w:val="00775416"/>
    <w:rsid w:val="00775717"/>
    <w:rsid w:val="00775C12"/>
    <w:rsid w:val="00780B50"/>
    <w:rsid w:val="00781AED"/>
    <w:rsid w:val="00782446"/>
    <w:rsid w:val="00782944"/>
    <w:rsid w:val="00782C14"/>
    <w:rsid w:val="0078431C"/>
    <w:rsid w:val="007845D3"/>
    <w:rsid w:val="00784FA1"/>
    <w:rsid w:val="007853A0"/>
    <w:rsid w:val="00785715"/>
    <w:rsid w:val="00785981"/>
    <w:rsid w:val="00785D4E"/>
    <w:rsid w:val="00786922"/>
    <w:rsid w:val="00787DFB"/>
    <w:rsid w:val="007911D1"/>
    <w:rsid w:val="0079123F"/>
    <w:rsid w:val="00791958"/>
    <w:rsid w:val="00791AA8"/>
    <w:rsid w:val="007936EE"/>
    <w:rsid w:val="00793CFE"/>
    <w:rsid w:val="00793F91"/>
    <w:rsid w:val="00794A40"/>
    <w:rsid w:val="00797034"/>
    <w:rsid w:val="007A2F28"/>
    <w:rsid w:val="007A30E5"/>
    <w:rsid w:val="007A51F8"/>
    <w:rsid w:val="007A7849"/>
    <w:rsid w:val="007A78B5"/>
    <w:rsid w:val="007B0A48"/>
    <w:rsid w:val="007B21AA"/>
    <w:rsid w:val="007B2416"/>
    <w:rsid w:val="007B2DD9"/>
    <w:rsid w:val="007B2EC8"/>
    <w:rsid w:val="007B39A3"/>
    <w:rsid w:val="007B45C2"/>
    <w:rsid w:val="007B4B61"/>
    <w:rsid w:val="007B5304"/>
    <w:rsid w:val="007B7A91"/>
    <w:rsid w:val="007C00A4"/>
    <w:rsid w:val="007C0222"/>
    <w:rsid w:val="007C151F"/>
    <w:rsid w:val="007C33A1"/>
    <w:rsid w:val="007C3B4D"/>
    <w:rsid w:val="007C4203"/>
    <w:rsid w:val="007C533C"/>
    <w:rsid w:val="007C55E1"/>
    <w:rsid w:val="007C57AF"/>
    <w:rsid w:val="007C5970"/>
    <w:rsid w:val="007C7664"/>
    <w:rsid w:val="007D015E"/>
    <w:rsid w:val="007D07AE"/>
    <w:rsid w:val="007D172E"/>
    <w:rsid w:val="007D334E"/>
    <w:rsid w:val="007D44A9"/>
    <w:rsid w:val="007D487D"/>
    <w:rsid w:val="007D4B45"/>
    <w:rsid w:val="007D682C"/>
    <w:rsid w:val="007D715E"/>
    <w:rsid w:val="007D7A3B"/>
    <w:rsid w:val="007D7E55"/>
    <w:rsid w:val="007E05A0"/>
    <w:rsid w:val="007E2E5D"/>
    <w:rsid w:val="007E5EFF"/>
    <w:rsid w:val="007E6B1E"/>
    <w:rsid w:val="007E6FE5"/>
    <w:rsid w:val="007F0B85"/>
    <w:rsid w:val="007F0D05"/>
    <w:rsid w:val="007F2384"/>
    <w:rsid w:val="007F46D6"/>
    <w:rsid w:val="007F5661"/>
    <w:rsid w:val="007F587F"/>
    <w:rsid w:val="007F5B59"/>
    <w:rsid w:val="00800A28"/>
    <w:rsid w:val="00802424"/>
    <w:rsid w:val="00804828"/>
    <w:rsid w:val="00804E59"/>
    <w:rsid w:val="00806056"/>
    <w:rsid w:val="00806651"/>
    <w:rsid w:val="00807754"/>
    <w:rsid w:val="0081287E"/>
    <w:rsid w:val="00815590"/>
    <w:rsid w:val="00816F61"/>
    <w:rsid w:val="008204A5"/>
    <w:rsid w:val="00821B13"/>
    <w:rsid w:val="00822F7F"/>
    <w:rsid w:val="00823A9F"/>
    <w:rsid w:val="00825021"/>
    <w:rsid w:val="00825D7D"/>
    <w:rsid w:val="00826806"/>
    <w:rsid w:val="00826BAD"/>
    <w:rsid w:val="00830591"/>
    <w:rsid w:val="00837A26"/>
    <w:rsid w:val="00842136"/>
    <w:rsid w:val="00842310"/>
    <w:rsid w:val="008508EA"/>
    <w:rsid w:val="00851931"/>
    <w:rsid w:val="00855171"/>
    <w:rsid w:val="0085653B"/>
    <w:rsid w:val="00857B0B"/>
    <w:rsid w:val="008619B7"/>
    <w:rsid w:val="00862369"/>
    <w:rsid w:val="008624A4"/>
    <w:rsid w:val="00863DA1"/>
    <w:rsid w:val="008648CB"/>
    <w:rsid w:val="00866637"/>
    <w:rsid w:val="00872BAA"/>
    <w:rsid w:val="00872E8F"/>
    <w:rsid w:val="00875D1C"/>
    <w:rsid w:val="008761F8"/>
    <w:rsid w:val="0088049F"/>
    <w:rsid w:val="0088085E"/>
    <w:rsid w:val="00880E65"/>
    <w:rsid w:val="008853DA"/>
    <w:rsid w:val="0088632C"/>
    <w:rsid w:val="00890C62"/>
    <w:rsid w:val="00891858"/>
    <w:rsid w:val="00891E36"/>
    <w:rsid w:val="00893A6A"/>
    <w:rsid w:val="00894AA4"/>
    <w:rsid w:val="00895FA1"/>
    <w:rsid w:val="00897000"/>
    <w:rsid w:val="008973C0"/>
    <w:rsid w:val="0089755F"/>
    <w:rsid w:val="0089762A"/>
    <w:rsid w:val="008A0147"/>
    <w:rsid w:val="008A094C"/>
    <w:rsid w:val="008A3082"/>
    <w:rsid w:val="008A44D5"/>
    <w:rsid w:val="008A54C0"/>
    <w:rsid w:val="008B089E"/>
    <w:rsid w:val="008B0A13"/>
    <w:rsid w:val="008B18F2"/>
    <w:rsid w:val="008B5A76"/>
    <w:rsid w:val="008B6FD0"/>
    <w:rsid w:val="008B7216"/>
    <w:rsid w:val="008B7338"/>
    <w:rsid w:val="008C145D"/>
    <w:rsid w:val="008C1526"/>
    <w:rsid w:val="008C1965"/>
    <w:rsid w:val="008C2D41"/>
    <w:rsid w:val="008C51D9"/>
    <w:rsid w:val="008C5453"/>
    <w:rsid w:val="008C5FB6"/>
    <w:rsid w:val="008C6A99"/>
    <w:rsid w:val="008C7DF8"/>
    <w:rsid w:val="008D0656"/>
    <w:rsid w:val="008D2C28"/>
    <w:rsid w:val="008D3DC3"/>
    <w:rsid w:val="008D56D3"/>
    <w:rsid w:val="008D6693"/>
    <w:rsid w:val="008E04FA"/>
    <w:rsid w:val="008E08B1"/>
    <w:rsid w:val="008E143A"/>
    <w:rsid w:val="008E25FD"/>
    <w:rsid w:val="008E49C6"/>
    <w:rsid w:val="008E5BA3"/>
    <w:rsid w:val="008E5D46"/>
    <w:rsid w:val="008E628C"/>
    <w:rsid w:val="008E7AF0"/>
    <w:rsid w:val="008F05CF"/>
    <w:rsid w:val="008F0A11"/>
    <w:rsid w:val="008F228F"/>
    <w:rsid w:val="008F22D5"/>
    <w:rsid w:val="008F3580"/>
    <w:rsid w:val="008F61C6"/>
    <w:rsid w:val="008F62AE"/>
    <w:rsid w:val="00900BBF"/>
    <w:rsid w:val="00903B80"/>
    <w:rsid w:val="009045CA"/>
    <w:rsid w:val="00905836"/>
    <w:rsid w:val="00907906"/>
    <w:rsid w:val="00910670"/>
    <w:rsid w:val="00911935"/>
    <w:rsid w:val="009126A2"/>
    <w:rsid w:val="0091354A"/>
    <w:rsid w:val="009150F5"/>
    <w:rsid w:val="009208D1"/>
    <w:rsid w:val="009210FE"/>
    <w:rsid w:val="0092145E"/>
    <w:rsid w:val="00922DF1"/>
    <w:rsid w:val="00922FBA"/>
    <w:rsid w:val="00923364"/>
    <w:rsid w:val="00924310"/>
    <w:rsid w:val="00925E3A"/>
    <w:rsid w:val="0092635B"/>
    <w:rsid w:val="0092680C"/>
    <w:rsid w:val="009268DC"/>
    <w:rsid w:val="00926913"/>
    <w:rsid w:val="00927129"/>
    <w:rsid w:val="00931684"/>
    <w:rsid w:val="00931E79"/>
    <w:rsid w:val="00932834"/>
    <w:rsid w:val="00932CA6"/>
    <w:rsid w:val="00934F4C"/>
    <w:rsid w:val="0093561E"/>
    <w:rsid w:val="009369A9"/>
    <w:rsid w:val="009452C6"/>
    <w:rsid w:val="0094742A"/>
    <w:rsid w:val="009559B0"/>
    <w:rsid w:val="00955C39"/>
    <w:rsid w:val="00961300"/>
    <w:rsid w:val="00962A31"/>
    <w:rsid w:val="00962E97"/>
    <w:rsid w:val="00963DC8"/>
    <w:rsid w:val="0096412C"/>
    <w:rsid w:val="009645D3"/>
    <w:rsid w:val="009658AB"/>
    <w:rsid w:val="00966FBC"/>
    <w:rsid w:val="00967DAE"/>
    <w:rsid w:val="00972F2E"/>
    <w:rsid w:val="00975F05"/>
    <w:rsid w:val="009779CB"/>
    <w:rsid w:val="00980950"/>
    <w:rsid w:val="0098199E"/>
    <w:rsid w:val="00981ADB"/>
    <w:rsid w:val="00982FA8"/>
    <w:rsid w:val="0098476A"/>
    <w:rsid w:val="00985871"/>
    <w:rsid w:val="00992693"/>
    <w:rsid w:val="00992F73"/>
    <w:rsid w:val="00993DC6"/>
    <w:rsid w:val="00994162"/>
    <w:rsid w:val="00994CA1"/>
    <w:rsid w:val="009967C3"/>
    <w:rsid w:val="00996FBD"/>
    <w:rsid w:val="00997D17"/>
    <w:rsid w:val="009A0A7F"/>
    <w:rsid w:val="009A10CC"/>
    <w:rsid w:val="009A2657"/>
    <w:rsid w:val="009A2F3A"/>
    <w:rsid w:val="009A335A"/>
    <w:rsid w:val="009A34D9"/>
    <w:rsid w:val="009A6F35"/>
    <w:rsid w:val="009A7641"/>
    <w:rsid w:val="009B3C5B"/>
    <w:rsid w:val="009B495A"/>
    <w:rsid w:val="009B53F5"/>
    <w:rsid w:val="009B65B6"/>
    <w:rsid w:val="009C3924"/>
    <w:rsid w:val="009C46CA"/>
    <w:rsid w:val="009C51F2"/>
    <w:rsid w:val="009C7EB0"/>
    <w:rsid w:val="009D0207"/>
    <w:rsid w:val="009D1658"/>
    <w:rsid w:val="009D4A51"/>
    <w:rsid w:val="009D55B2"/>
    <w:rsid w:val="009D6F2E"/>
    <w:rsid w:val="009E1379"/>
    <w:rsid w:val="009E25C2"/>
    <w:rsid w:val="009E2BF8"/>
    <w:rsid w:val="009E2E7A"/>
    <w:rsid w:val="009E47DF"/>
    <w:rsid w:val="009E525F"/>
    <w:rsid w:val="009E7F7D"/>
    <w:rsid w:val="009F00DF"/>
    <w:rsid w:val="009F1FB6"/>
    <w:rsid w:val="009F286E"/>
    <w:rsid w:val="009F3D2E"/>
    <w:rsid w:val="009F75D4"/>
    <w:rsid w:val="00A007B6"/>
    <w:rsid w:val="00A00EE5"/>
    <w:rsid w:val="00A01399"/>
    <w:rsid w:val="00A04340"/>
    <w:rsid w:val="00A04DDD"/>
    <w:rsid w:val="00A0679F"/>
    <w:rsid w:val="00A06862"/>
    <w:rsid w:val="00A12C80"/>
    <w:rsid w:val="00A12DC6"/>
    <w:rsid w:val="00A17399"/>
    <w:rsid w:val="00A17422"/>
    <w:rsid w:val="00A17BBE"/>
    <w:rsid w:val="00A2093D"/>
    <w:rsid w:val="00A227DA"/>
    <w:rsid w:val="00A22A84"/>
    <w:rsid w:val="00A23D00"/>
    <w:rsid w:val="00A247CB"/>
    <w:rsid w:val="00A25F51"/>
    <w:rsid w:val="00A27B08"/>
    <w:rsid w:val="00A30D56"/>
    <w:rsid w:val="00A30F44"/>
    <w:rsid w:val="00A332D1"/>
    <w:rsid w:val="00A33A9E"/>
    <w:rsid w:val="00A34E84"/>
    <w:rsid w:val="00A350A1"/>
    <w:rsid w:val="00A36BBF"/>
    <w:rsid w:val="00A41505"/>
    <w:rsid w:val="00A4543C"/>
    <w:rsid w:val="00A46A18"/>
    <w:rsid w:val="00A52CB7"/>
    <w:rsid w:val="00A53CA4"/>
    <w:rsid w:val="00A53E54"/>
    <w:rsid w:val="00A55530"/>
    <w:rsid w:val="00A56FF2"/>
    <w:rsid w:val="00A57298"/>
    <w:rsid w:val="00A575A2"/>
    <w:rsid w:val="00A57C48"/>
    <w:rsid w:val="00A60E14"/>
    <w:rsid w:val="00A60EF8"/>
    <w:rsid w:val="00A61896"/>
    <w:rsid w:val="00A61BBA"/>
    <w:rsid w:val="00A63F5B"/>
    <w:rsid w:val="00A6416F"/>
    <w:rsid w:val="00A65D4D"/>
    <w:rsid w:val="00A66C2A"/>
    <w:rsid w:val="00A674BB"/>
    <w:rsid w:val="00A67D5F"/>
    <w:rsid w:val="00A70003"/>
    <w:rsid w:val="00A72F9E"/>
    <w:rsid w:val="00A73C98"/>
    <w:rsid w:val="00A73DD3"/>
    <w:rsid w:val="00A77555"/>
    <w:rsid w:val="00A81C0B"/>
    <w:rsid w:val="00A83AB4"/>
    <w:rsid w:val="00A84354"/>
    <w:rsid w:val="00A84646"/>
    <w:rsid w:val="00A84888"/>
    <w:rsid w:val="00A856E2"/>
    <w:rsid w:val="00A85FB1"/>
    <w:rsid w:val="00A85FCB"/>
    <w:rsid w:val="00A87EE3"/>
    <w:rsid w:val="00A913E5"/>
    <w:rsid w:val="00A923D1"/>
    <w:rsid w:val="00A93C29"/>
    <w:rsid w:val="00A9465C"/>
    <w:rsid w:val="00A95967"/>
    <w:rsid w:val="00AA1CF8"/>
    <w:rsid w:val="00AA439C"/>
    <w:rsid w:val="00AA49E6"/>
    <w:rsid w:val="00AA7851"/>
    <w:rsid w:val="00AA7864"/>
    <w:rsid w:val="00AB43C5"/>
    <w:rsid w:val="00AB5786"/>
    <w:rsid w:val="00AC07BA"/>
    <w:rsid w:val="00AC1530"/>
    <w:rsid w:val="00AC1711"/>
    <w:rsid w:val="00AC2A73"/>
    <w:rsid w:val="00AC2C93"/>
    <w:rsid w:val="00AC4676"/>
    <w:rsid w:val="00AC6B7E"/>
    <w:rsid w:val="00AC7712"/>
    <w:rsid w:val="00AD4415"/>
    <w:rsid w:val="00AD4697"/>
    <w:rsid w:val="00AD57BA"/>
    <w:rsid w:val="00AD6AB0"/>
    <w:rsid w:val="00AE2022"/>
    <w:rsid w:val="00AE2138"/>
    <w:rsid w:val="00AE252A"/>
    <w:rsid w:val="00AE3A2D"/>
    <w:rsid w:val="00AF1376"/>
    <w:rsid w:val="00AF1377"/>
    <w:rsid w:val="00AF2EDD"/>
    <w:rsid w:val="00AF2F0D"/>
    <w:rsid w:val="00AF3495"/>
    <w:rsid w:val="00AF3521"/>
    <w:rsid w:val="00AF4ECB"/>
    <w:rsid w:val="00AF6C3E"/>
    <w:rsid w:val="00AF6E7C"/>
    <w:rsid w:val="00B01C0D"/>
    <w:rsid w:val="00B0412E"/>
    <w:rsid w:val="00B04DD2"/>
    <w:rsid w:val="00B04F98"/>
    <w:rsid w:val="00B055F1"/>
    <w:rsid w:val="00B07041"/>
    <w:rsid w:val="00B108F8"/>
    <w:rsid w:val="00B11A10"/>
    <w:rsid w:val="00B11C55"/>
    <w:rsid w:val="00B11DD2"/>
    <w:rsid w:val="00B16FF8"/>
    <w:rsid w:val="00B17F74"/>
    <w:rsid w:val="00B20C1E"/>
    <w:rsid w:val="00B22599"/>
    <w:rsid w:val="00B2325B"/>
    <w:rsid w:val="00B25690"/>
    <w:rsid w:val="00B27C03"/>
    <w:rsid w:val="00B30A94"/>
    <w:rsid w:val="00B31291"/>
    <w:rsid w:val="00B3297E"/>
    <w:rsid w:val="00B32BB5"/>
    <w:rsid w:val="00B33122"/>
    <w:rsid w:val="00B37C3C"/>
    <w:rsid w:val="00B40038"/>
    <w:rsid w:val="00B421C7"/>
    <w:rsid w:val="00B432BE"/>
    <w:rsid w:val="00B4331A"/>
    <w:rsid w:val="00B479D0"/>
    <w:rsid w:val="00B50211"/>
    <w:rsid w:val="00B5079C"/>
    <w:rsid w:val="00B508C4"/>
    <w:rsid w:val="00B510A7"/>
    <w:rsid w:val="00B540FF"/>
    <w:rsid w:val="00B54D42"/>
    <w:rsid w:val="00B569B8"/>
    <w:rsid w:val="00B56A90"/>
    <w:rsid w:val="00B57130"/>
    <w:rsid w:val="00B612A0"/>
    <w:rsid w:val="00B619E5"/>
    <w:rsid w:val="00B62655"/>
    <w:rsid w:val="00B62E46"/>
    <w:rsid w:val="00B640AC"/>
    <w:rsid w:val="00B64802"/>
    <w:rsid w:val="00B658AF"/>
    <w:rsid w:val="00B65C1D"/>
    <w:rsid w:val="00B666F4"/>
    <w:rsid w:val="00B73EFE"/>
    <w:rsid w:val="00B758CE"/>
    <w:rsid w:val="00B766E3"/>
    <w:rsid w:val="00B76A5D"/>
    <w:rsid w:val="00B76C6A"/>
    <w:rsid w:val="00B76D9C"/>
    <w:rsid w:val="00B8023C"/>
    <w:rsid w:val="00B80595"/>
    <w:rsid w:val="00B81753"/>
    <w:rsid w:val="00B819BE"/>
    <w:rsid w:val="00B82B57"/>
    <w:rsid w:val="00B8670D"/>
    <w:rsid w:val="00B92183"/>
    <w:rsid w:val="00B94157"/>
    <w:rsid w:val="00B945EB"/>
    <w:rsid w:val="00B947D9"/>
    <w:rsid w:val="00B94FF9"/>
    <w:rsid w:val="00B95C54"/>
    <w:rsid w:val="00B96E68"/>
    <w:rsid w:val="00B96F47"/>
    <w:rsid w:val="00BA00BE"/>
    <w:rsid w:val="00BA106B"/>
    <w:rsid w:val="00BA10AF"/>
    <w:rsid w:val="00BA24FD"/>
    <w:rsid w:val="00BA3A06"/>
    <w:rsid w:val="00BA5E46"/>
    <w:rsid w:val="00BA6FE8"/>
    <w:rsid w:val="00BA7DAB"/>
    <w:rsid w:val="00BA7EB6"/>
    <w:rsid w:val="00BB0C9C"/>
    <w:rsid w:val="00BB0FB9"/>
    <w:rsid w:val="00BB12D7"/>
    <w:rsid w:val="00BB2F2D"/>
    <w:rsid w:val="00BB5AD3"/>
    <w:rsid w:val="00BB5C60"/>
    <w:rsid w:val="00BB7363"/>
    <w:rsid w:val="00BB7F43"/>
    <w:rsid w:val="00BC09E9"/>
    <w:rsid w:val="00BC0B41"/>
    <w:rsid w:val="00BC0D99"/>
    <w:rsid w:val="00BC153E"/>
    <w:rsid w:val="00BC25C8"/>
    <w:rsid w:val="00BC5155"/>
    <w:rsid w:val="00BC5356"/>
    <w:rsid w:val="00BC6705"/>
    <w:rsid w:val="00BC7EFF"/>
    <w:rsid w:val="00BD09F5"/>
    <w:rsid w:val="00BD1060"/>
    <w:rsid w:val="00BD186B"/>
    <w:rsid w:val="00BD33F4"/>
    <w:rsid w:val="00BD60A4"/>
    <w:rsid w:val="00BD692B"/>
    <w:rsid w:val="00BE1201"/>
    <w:rsid w:val="00BE442F"/>
    <w:rsid w:val="00BE485F"/>
    <w:rsid w:val="00BE4AE2"/>
    <w:rsid w:val="00BE5DAC"/>
    <w:rsid w:val="00BE6DC8"/>
    <w:rsid w:val="00BF0706"/>
    <w:rsid w:val="00BF13A2"/>
    <w:rsid w:val="00BF4C57"/>
    <w:rsid w:val="00BF4F6E"/>
    <w:rsid w:val="00BF505C"/>
    <w:rsid w:val="00BF64FE"/>
    <w:rsid w:val="00BF6DDA"/>
    <w:rsid w:val="00BF7371"/>
    <w:rsid w:val="00C00749"/>
    <w:rsid w:val="00C008D3"/>
    <w:rsid w:val="00C017C5"/>
    <w:rsid w:val="00C054E5"/>
    <w:rsid w:val="00C066CA"/>
    <w:rsid w:val="00C06D15"/>
    <w:rsid w:val="00C06EBE"/>
    <w:rsid w:val="00C122A5"/>
    <w:rsid w:val="00C14CC2"/>
    <w:rsid w:val="00C22441"/>
    <w:rsid w:val="00C2457F"/>
    <w:rsid w:val="00C24B85"/>
    <w:rsid w:val="00C24ED0"/>
    <w:rsid w:val="00C27AEC"/>
    <w:rsid w:val="00C3237F"/>
    <w:rsid w:val="00C32A32"/>
    <w:rsid w:val="00C34674"/>
    <w:rsid w:val="00C359C8"/>
    <w:rsid w:val="00C36436"/>
    <w:rsid w:val="00C366B9"/>
    <w:rsid w:val="00C37454"/>
    <w:rsid w:val="00C37915"/>
    <w:rsid w:val="00C4010C"/>
    <w:rsid w:val="00C40848"/>
    <w:rsid w:val="00C41A7C"/>
    <w:rsid w:val="00C41FB5"/>
    <w:rsid w:val="00C421D7"/>
    <w:rsid w:val="00C4241D"/>
    <w:rsid w:val="00C44D01"/>
    <w:rsid w:val="00C44F0A"/>
    <w:rsid w:val="00C458AD"/>
    <w:rsid w:val="00C46028"/>
    <w:rsid w:val="00C461A6"/>
    <w:rsid w:val="00C46B08"/>
    <w:rsid w:val="00C472A5"/>
    <w:rsid w:val="00C50EEA"/>
    <w:rsid w:val="00C533CE"/>
    <w:rsid w:val="00C5375E"/>
    <w:rsid w:val="00C553AB"/>
    <w:rsid w:val="00C55808"/>
    <w:rsid w:val="00C5617D"/>
    <w:rsid w:val="00C56F12"/>
    <w:rsid w:val="00C57DE1"/>
    <w:rsid w:val="00C61A82"/>
    <w:rsid w:val="00C63759"/>
    <w:rsid w:val="00C6546B"/>
    <w:rsid w:val="00C66721"/>
    <w:rsid w:val="00C704A8"/>
    <w:rsid w:val="00C71814"/>
    <w:rsid w:val="00C72BC4"/>
    <w:rsid w:val="00C73075"/>
    <w:rsid w:val="00C745C4"/>
    <w:rsid w:val="00C748AA"/>
    <w:rsid w:val="00C74F68"/>
    <w:rsid w:val="00C754F8"/>
    <w:rsid w:val="00C774CE"/>
    <w:rsid w:val="00C81070"/>
    <w:rsid w:val="00C8249B"/>
    <w:rsid w:val="00C82936"/>
    <w:rsid w:val="00C85667"/>
    <w:rsid w:val="00C85D00"/>
    <w:rsid w:val="00C85E7A"/>
    <w:rsid w:val="00C9104A"/>
    <w:rsid w:val="00C91D3E"/>
    <w:rsid w:val="00C93F68"/>
    <w:rsid w:val="00C95563"/>
    <w:rsid w:val="00C95767"/>
    <w:rsid w:val="00C96123"/>
    <w:rsid w:val="00C9701D"/>
    <w:rsid w:val="00C9754F"/>
    <w:rsid w:val="00C9793C"/>
    <w:rsid w:val="00CA0C12"/>
    <w:rsid w:val="00CA1E96"/>
    <w:rsid w:val="00CA3A4E"/>
    <w:rsid w:val="00CA619F"/>
    <w:rsid w:val="00CA71A9"/>
    <w:rsid w:val="00CA7FAD"/>
    <w:rsid w:val="00CB1C22"/>
    <w:rsid w:val="00CB379F"/>
    <w:rsid w:val="00CB565A"/>
    <w:rsid w:val="00CB6E45"/>
    <w:rsid w:val="00CC167F"/>
    <w:rsid w:val="00CC17D7"/>
    <w:rsid w:val="00CC20BC"/>
    <w:rsid w:val="00CC24E7"/>
    <w:rsid w:val="00CC4D22"/>
    <w:rsid w:val="00CC5BEE"/>
    <w:rsid w:val="00CC7629"/>
    <w:rsid w:val="00CD024E"/>
    <w:rsid w:val="00CD1198"/>
    <w:rsid w:val="00CD1957"/>
    <w:rsid w:val="00CD1C75"/>
    <w:rsid w:val="00CD1D7B"/>
    <w:rsid w:val="00CD1F42"/>
    <w:rsid w:val="00CD2143"/>
    <w:rsid w:val="00CD235F"/>
    <w:rsid w:val="00CD480B"/>
    <w:rsid w:val="00CD48AA"/>
    <w:rsid w:val="00CD72E0"/>
    <w:rsid w:val="00CD7ABA"/>
    <w:rsid w:val="00CE22DA"/>
    <w:rsid w:val="00CE30B1"/>
    <w:rsid w:val="00CE3576"/>
    <w:rsid w:val="00CE582D"/>
    <w:rsid w:val="00CE5AC9"/>
    <w:rsid w:val="00CE6D3D"/>
    <w:rsid w:val="00CF17E8"/>
    <w:rsid w:val="00CF18C5"/>
    <w:rsid w:val="00CF1F72"/>
    <w:rsid w:val="00CF1F9D"/>
    <w:rsid w:val="00CF2756"/>
    <w:rsid w:val="00CF331C"/>
    <w:rsid w:val="00CF3575"/>
    <w:rsid w:val="00CF3A31"/>
    <w:rsid w:val="00CF4757"/>
    <w:rsid w:val="00CF6421"/>
    <w:rsid w:val="00CF6BCC"/>
    <w:rsid w:val="00CF6EE3"/>
    <w:rsid w:val="00CF701D"/>
    <w:rsid w:val="00D00F5C"/>
    <w:rsid w:val="00D0166C"/>
    <w:rsid w:val="00D03AC6"/>
    <w:rsid w:val="00D111A6"/>
    <w:rsid w:val="00D12F1D"/>
    <w:rsid w:val="00D14595"/>
    <w:rsid w:val="00D14872"/>
    <w:rsid w:val="00D14E69"/>
    <w:rsid w:val="00D15A72"/>
    <w:rsid w:val="00D1629A"/>
    <w:rsid w:val="00D1798A"/>
    <w:rsid w:val="00D21D71"/>
    <w:rsid w:val="00D22389"/>
    <w:rsid w:val="00D23B5D"/>
    <w:rsid w:val="00D2549A"/>
    <w:rsid w:val="00D26BA4"/>
    <w:rsid w:val="00D30CC5"/>
    <w:rsid w:val="00D32EF2"/>
    <w:rsid w:val="00D347A3"/>
    <w:rsid w:val="00D35D3E"/>
    <w:rsid w:val="00D35EA5"/>
    <w:rsid w:val="00D362C1"/>
    <w:rsid w:val="00D362E3"/>
    <w:rsid w:val="00D42291"/>
    <w:rsid w:val="00D42504"/>
    <w:rsid w:val="00D4251A"/>
    <w:rsid w:val="00D440ED"/>
    <w:rsid w:val="00D46851"/>
    <w:rsid w:val="00D47EE3"/>
    <w:rsid w:val="00D5053A"/>
    <w:rsid w:val="00D50E8E"/>
    <w:rsid w:val="00D52146"/>
    <w:rsid w:val="00D52F35"/>
    <w:rsid w:val="00D55B7F"/>
    <w:rsid w:val="00D611DD"/>
    <w:rsid w:val="00D631C6"/>
    <w:rsid w:val="00D643BD"/>
    <w:rsid w:val="00D64544"/>
    <w:rsid w:val="00D65BC5"/>
    <w:rsid w:val="00D718CA"/>
    <w:rsid w:val="00D7297B"/>
    <w:rsid w:val="00D746D6"/>
    <w:rsid w:val="00D752A4"/>
    <w:rsid w:val="00D857B1"/>
    <w:rsid w:val="00D864D3"/>
    <w:rsid w:val="00D91148"/>
    <w:rsid w:val="00D9184D"/>
    <w:rsid w:val="00D92209"/>
    <w:rsid w:val="00D931E3"/>
    <w:rsid w:val="00D93ADE"/>
    <w:rsid w:val="00D94B9A"/>
    <w:rsid w:val="00D95852"/>
    <w:rsid w:val="00DA18A9"/>
    <w:rsid w:val="00DA647E"/>
    <w:rsid w:val="00DA6D9C"/>
    <w:rsid w:val="00DB1463"/>
    <w:rsid w:val="00DC1043"/>
    <w:rsid w:val="00DC1D36"/>
    <w:rsid w:val="00DC3072"/>
    <w:rsid w:val="00DC3BB9"/>
    <w:rsid w:val="00DC43C8"/>
    <w:rsid w:val="00DC5628"/>
    <w:rsid w:val="00DD12F4"/>
    <w:rsid w:val="00DD290D"/>
    <w:rsid w:val="00DE0131"/>
    <w:rsid w:val="00DE1FD9"/>
    <w:rsid w:val="00DE2D30"/>
    <w:rsid w:val="00DE3E3F"/>
    <w:rsid w:val="00DE7209"/>
    <w:rsid w:val="00DE7DD5"/>
    <w:rsid w:val="00DF0119"/>
    <w:rsid w:val="00DF18C8"/>
    <w:rsid w:val="00DF41C3"/>
    <w:rsid w:val="00DF4CD6"/>
    <w:rsid w:val="00DF57AE"/>
    <w:rsid w:val="00DF5F15"/>
    <w:rsid w:val="00DF6C1B"/>
    <w:rsid w:val="00E007F2"/>
    <w:rsid w:val="00E00C08"/>
    <w:rsid w:val="00E0259B"/>
    <w:rsid w:val="00E02855"/>
    <w:rsid w:val="00E03642"/>
    <w:rsid w:val="00E03DC3"/>
    <w:rsid w:val="00E0444B"/>
    <w:rsid w:val="00E07A92"/>
    <w:rsid w:val="00E10485"/>
    <w:rsid w:val="00E14B5C"/>
    <w:rsid w:val="00E16DD5"/>
    <w:rsid w:val="00E20CEF"/>
    <w:rsid w:val="00E21F28"/>
    <w:rsid w:val="00E24BFA"/>
    <w:rsid w:val="00E24F0F"/>
    <w:rsid w:val="00E2583D"/>
    <w:rsid w:val="00E26483"/>
    <w:rsid w:val="00E3200F"/>
    <w:rsid w:val="00E329FD"/>
    <w:rsid w:val="00E35095"/>
    <w:rsid w:val="00E370B9"/>
    <w:rsid w:val="00E37D67"/>
    <w:rsid w:val="00E43927"/>
    <w:rsid w:val="00E475A4"/>
    <w:rsid w:val="00E5138E"/>
    <w:rsid w:val="00E5339A"/>
    <w:rsid w:val="00E54EFA"/>
    <w:rsid w:val="00E54F83"/>
    <w:rsid w:val="00E55638"/>
    <w:rsid w:val="00E5584A"/>
    <w:rsid w:val="00E63CBE"/>
    <w:rsid w:val="00E65CC6"/>
    <w:rsid w:val="00E65D71"/>
    <w:rsid w:val="00E6691F"/>
    <w:rsid w:val="00E70511"/>
    <w:rsid w:val="00E70FCF"/>
    <w:rsid w:val="00E714E2"/>
    <w:rsid w:val="00E72084"/>
    <w:rsid w:val="00E745C4"/>
    <w:rsid w:val="00E74DC3"/>
    <w:rsid w:val="00E75106"/>
    <w:rsid w:val="00E779F0"/>
    <w:rsid w:val="00E851E0"/>
    <w:rsid w:val="00E857B9"/>
    <w:rsid w:val="00E85FF1"/>
    <w:rsid w:val="00E8763E"/>
    <w:rsid w:val="00E87D2D"/>
    <w:rsid w:val="00E90344"/>
    <w:rsid w:val="00E905E8"/>
    <w:rsid w:val="00E9079F"/>
    <w:rsid w:val="00E91BE5"/>
    <w:rsid w:val="00E9580E"/>
    <w:rsid w:val="00E95AFB"/>
    <w:rsid w:val="00EA1B64"/>
    <w:rsid w:val="00EA4B6C"/>
    <w:rsid w:val="00EA672A"/>
    <w:rsid w:val="00EA6C73"/>
    <w:rsid w:val="00EA77E7"/>
    <w:rsid w:val="00EB0336"/>
    <w:rsid w:val="00EB1627"/>
    <w:rsid w:val="00EB28F4"/>
    <w:rsid w:val="00EB3060"/>
    <w:rsid w:val="00EB3463"/>
    <w:rsid w:val="00EB3A03"/>
    <w:rsid w:val="00EB3A56"/>
    <w:rsid w:val="00EB5938"/>
    <w:rsid w:val="00EB7235"/>
    <w:rsid w:val="00EC1AD8"/>
    <w:rsid w:val="00EC4435"/>
    <w:rsid w:val="00EC4F0D"/>
    <w:rsid w:val="00EC5C67"/>
    <w:rsid w:val="00ED2FAE"/>
    <w:rsid w:val="00ED307B"/>
    <w:rsid w:val="00ED3512"/>
    <w:rsid w:val="00ED3A94"/>
    <w:rsid w:val="00ED4C9B"/>
    <w:rsid w:val="00ED5CA8"/>
    <w:rsid w:val="00ED669B"/>
    <w:rsid w:val="00ED66A3"/>
    <w:rsid w:val="00ED7944"/>
    <w:rsid w:val="00ED7D32"/>
    <w:rsid w:val="00EE3110"/>
    <w:rsid w:val="00EE59BD"/>
    <w:rsid w:val="00EE7BA2"/>
    <w:rsid w:val="00EE7CAE"/>
    <w:rsid w:val="00EF152F"/>
    <w:rsid w:val="00EF1978"/>
    <w:rsid w:val="00EF2495"/>
    <w:rsid w:val="00EF415A"/>
    <w:rsid w:val="00EF4929"/>
    <w:rsid w:val="00EF5193"/>
    <w:rsid w:val="00EF656E"/>
    <w:rsid w:val="00F015D1"/>
    <w:rsid w:val="00F01D7D"/>
    <w:rsid w:val="00F02063"/>
    <w:rsid w:val="00F02A18"/>
    <w:rsid w:val="00F02ACB"/>
    <w:rsid w:val="00F02D8D"/>
    <w:rsid w:val="00F044AC"/>
    <w:rsid w:val="00F05A2D"/>
    <w:rsid w:val="00F1047D"/>
    <w:rsid w:val="00F10D39"/>
    <w:rsid w:val="00F12E1B"/>
    <w:rsid w:val="00F16280"/>
    <w:rsid w:val="00F17B9C"/>
    <w:rsid w:val="00F21966"/>
    <w:rsid w:val="00F21BF2"/>
    <w:rsid w:val="00F21CA8"/>
    <w:rsid w:val="00F22B6B"/>
    <w:rsid w:val="00F24DC6"/>
    <w:rsid w:val="00F25E90"/>
    <w:rsid w:val="00F26FD6"/>
    <w:rsid w:val="00F31B04"/>
    <w:rsid w:val="00F32107"/>
    <w:rsid w:val="00F3550C"/>
    <w:rsid w:val="00F35F54"/>
    <w:rsid w:val="00F36582"/>
    <w:rsid w:val="00F37167"/>
    <w:rsid w:val="00F418AD"/>
    <w:rsid w:val="00F41EE7"/>
    <w:rsid w:val="00F42AB0"/>
    <w:rsid w:val="00F42EA2"/>
    <w:rsid w:val="00F42F1E"/>
    <w:rsid w:val="00F440E6"/>
    <w:rsid w:val="00F44E8A"/>
    <w:rsid w:val="00F45293"/>
    <w:rsid w:val="00F46725"/>
    <w:rsid w:val="00F47982"/>
    <w:rsid w:val="00F504BA"/>
    <w:rsid w:val="00F52064"/>
    <w:rsid w:val="00F55413"/>
    <w:rsid w:val="00F56F26"/>
    <w:rsid w:val="00F57721"/>
    <w:rsid w:val="00F60E85"/>
    <w:rsid w:val="00F614C0"/>
    <w:rsid w:val="00F62620"/>
    <w:rsid w:val="00F63AC2"/>
    <w:rsid w:val="00F63CF8"/>
    <w:rsid w:val="00F64327"/>
    <w:rsid w:val="00F64598"/>
    <w:rsid w:val="00F64775"/>
    <w:rsid w:val="00F665D3"/>
    <w:rsid w:val="00F66AE0"/>
    <w:rsid w:val="00F66D92"/>
    <w:rsid w:val="00F71C66"/>
    <w:rsid w:val="00F72B3D"/>
    <w:rsid w:val="00F739A0"/>
    <w:rsid w:val="00F73B04"/>
    <w:rsid w:val="00F74FC2"/>
    <w:rsid w:val="00F76680"/>
    <w:rsid w:val="00F8081B"/>
    <w:rsid w:val="00F81A2F"/>
    <w:rsid w:val="00F82C80"/>
    <w:rsid w:val="00F82F4C"/>
    <w:rsid w:val="00F83A22"/>
    <w:rsid w:val="00F84AE3"/>
    <w:rsid w:val="00F8536D"/>
    <w:rsid w:val="00F859AB"/>
    <w:rsid w:val="00F85D0B"/>
    <w:rsid w:val="00F86C3D"/>
    <w:rsid w:val="00F90CE9"/>
    <w:rsid w:val="00F91AEE"/>
    <w:rsid w:val="00F9312E"/>
    <w:rsid w:val="00F933A3"/>
    <w:rsid w:val="00F933F5"/>
    <w:rsid w:val="00F978C8"/>
    <w:rsid w:val="00FA080B"/>
    <w:rsid w:val="00FA0B35"/>
    <w:rsid w:val="00FA2B0B"/>
    <w:rsid w:val="00FA5397"/>
    <w:rsid w:val="00FA5A5B"/>
    <w:rsid w:val="00FA5DC6"/>
    <w:rsid w:val="00FB0031"/>
    <w:rsid w:val="00FB024E"/>
    <w:rsid w:val="00FB1E8D"/>
    <w:rsid w:val="00FB20E0"/>
    <w:rsid w:val="00FB2EB5"/>
    <w:rsid w:val="00FB3251"/>
    <w:rsid w:val="00FB43B0"/>
    <w:rsid w:val="00FB6B80"/>
    <w:rsid w:val="00FB6C4F"/>
    <w:rsid w:val="00FC5CEF"/>
    <w:rsid w:val="00FC6185"/>
    <w:rsid w:val="00FC7960"/>
    <w:rsid w:val="00FD13D2"/>
    <w:rsid w:val="00FD206D"/>
    <w:rsid w:val="00FD244A"/>
    <w:rsid w:val="00FD566C"/>
    <w:rsid w:val="00FD6414"/>
    <w:rsid w:val="00FD7DBA"/>
    <w:rsid w:val="00FE002C"/>
    <w:rsid w:val="00FE101C"/>
    <w:rsid w:val="00FE191A"/>
    <w:rsid w:val="00FE3F97"/>
    <w:rsid w:val="00FE40DB"/>
    <w:rsid w:val="00FE61DC"/>
    <w:rsid w:val="00FE661B"/>
    <w:rsid w:val="00FE725A"/>
    <w:rsid w:val="00FF3770"/>
    <w:rsid w:val="00FF5A89"/>
    <w:rsid w:val="00FF5EAD"/>
    <w:rsid w:val="00FF71C1"/>
    <w:rsid w:val="1AE1BB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E5A4"/>
  <w15:docId w15:val="{3A60F40D-9ABD-4888-B933-479D0DEB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A1"/>
    <w:pPr>
      <w:ind w:left="720"/>
      <w:contextualSpacing/>
    </w:pPr>
  </w:style>
  <w:style w:type="table" w:styleId="TableGrid">
    <w:name w:val="Table Grid"/>
    <w:basedOn w:val="TableNormal"/>
    <w:uiPriority w:val="39"/>
    <w:rsid w:val="0050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F015D1"/>
    <w:pPr>
      <w:spacing w:after="0"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sid w:val="00F015D1"/>
    <w:rPr>
      <w:rFonts w:ascii="Calibri" w:hAnsi="Calibri" w:cs="Calibri"/>
      <w:lang w:val="en-US"/>
    </w:rPr>
  </w:style>
  <w:style w:type="paragraph" w:styleId="Header">
    <w:name w:val="header"/>
    <w:basedOn w:val="Normal"/>
    <w:link w:val="HeaderChar"/>
    <w:uiPriority w:val="99"/>
    <w:unhideWhenUsed/>
    <w:rsid w:val="0051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FDE"/>
  </w:style>
  <w:style w:type="paragraph" w:styleId="Footer">
    <w:name w:val="footer"/>
    <w:basedOn w:val="Normal"/>
    <w:link w:val="FooterChar"/>
    <w:uiPriority w:val="99"/>
    <w:unhideWhenUsed/>
    <w:rsid w:val="0051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FDE"/>
  </w:style>
  <w:style w:type="character" w:styleId="Hyperlink">
    <w:name w:val="Hyperlink"/>
    <w:basedOn w:val="DefaultParagraphFont"/>
    <w:uiPriority w:val="99"/>
    <w:unhideWhenUsed/>
    <w:rsid w:val="00492138"/>
    <w:rPr>
      <w:color w:val="0563C1" w:themeColor="hyperlink"/>
      <w:u w:val="single"/>
    </w:rPr>
  </w:style>
  <w:style w:type="character" w:customStyle="1" w:styleId="UnresolvedMention1">
    <w:name w:val="Unresolved Mention1"/>
    <w:basedOn w:val="DefaultParagraphFont"/>
    <w:uiPriority w:val="99"/>
    <w:semiHidden/>
    <w:unhideWhenUsed/>
    <w:rsid w:val="00492138"/>
    <w:rPr>
      <w:color w:val="605E5C"/>
      <w:shd w:val="clear" w:color="auto" w:fill="E1DFDD"/>
    </w:rPr>
  </w:style>
  <w:style w:type="paragraph" w:customStyle="1" w:styleId="paragraph">
    <w:name w:val="paragraph"/>
    <w:basedOn w:val="Normal"/>
    <w:rsid w:val="00E24BFA"/>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normaltextrun">
    <w:name w:val="normaltextrun"/>
    <w:basedOn w:val="DefaultParagraphFont"/>
    <w:rsid w:val="00E24BFA"/>
  </w:style>
  <w:style w:type="character" w:customStyle="1" w:styleId="eop">
    <w:name w:val="eop"/>
    <w:basedOn w:val="DefaultParagraphFont"/>
    <w:rsid w:val="00E24BFA"/>
  </w:style>
  <w:style w:type="character" w:styleId="LineNumber">
    <w:name w:val="line number"/>
    <w:basedOn w:val="DefaultParagraphFont"/>
    <w:uiPriority w:val="99"/>
    <w:semiHidden/>
    <w:unhideWhenUsed/>
    <w:rsid w:val="000F5A28"/>
  </w:style>
  <w:style w:type="paragraph" w:styleId="BalloonText">
    <w:name w:val="Balloon Text"/>
    <w:basedOn w:val="Normal"/>
    <w:link w:val="BalloonTextChar"/>
    <w:uiPriority w:val="99"/>
    <w:semiHidden/>
    <w:unhideWhenUsed/>
    <w:rsid w:val="00F8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4C"/>
    <w:rPr>
      <w:rFonts w:ascii="Tahoma" w:hAnsi="Tahoma" w:cs="Tahoma"/>
      <w:sz w:val="16"/>
      <w:szCs w:val="16"/>
    </w:rPr>
  </w:style>
  <w:style w:type="character" w:styleId="CommentReference">
    <w:name w:val="annotation reference"/>
    <w:basedOn w:val="DefaultParagraphFont"/>
    <w:uiPriority w:val="99"/>
    <w:semiHidden/>
    <w:unhideWhenUsed/>
    <w:rsid w:val="00E65CC6"/>
    <w:rPr>
      <w:sz w:val="16"/>
      <w:szCs w:val="16"/>
    </w:rPr>
  </w:style>
  <w:style w:type="paragraph" w:styleId="CommentText">
    <w:name w:val="annotation text"/>
    <w:basedOn w:val="Normal"/>
    <w:link w:val="CommentTextChar"/>
    <w:uiPriority w:val="99"/>
    <w:semiHidden/>
    <w:unhideWhenUsed/>
    <w:rsid w:val="00E65CC6"/>
    <w:pPr>
      <w:spacing w:line="240" w:lineRule="auto"/>
    </w:pPr>
    <w:rPr>
      <w:sz w:val="20"/>
      <w:szCs w:val="20"/>
    </w:rPr>
  </w:style>
  <w:style w:type="character" w:customStyle="1" w:styleId="CommentTextChar">
    <w:name w:val="Comment Text Char"/>
    <w:basedOn w:val="DefaultParagraphFont"/>
    <w:link w:val="CommentText"/>
    <w:uiPriority w:val="99"/>
    <w:semiHidden/>
    <w:rsid w:val="00E65CC6"/>
    <w:rPr>
      <w:sz w:val="20"/>
      <w:szCs w:val="20"/>
    </w:rPr>
  </w:style>
  <w:style w:type="paragraph" w:styleId="CommentSubject">
    <w:name w:val="annotation subject"/>
    <w:basedOn w:val="CommentText"/>
    <w:next w:val="CommentText"/>
    <w:link w:val="CommentSubjectChar"/>
    <w:uiPriority w:val="99"/>
    <w:semiHidden/>
    <w:unhideWhenUsed/>
    <w:rsid w:val="00E65CC6"/>
    <w:rPr>
      <w:b/>
      <w:bCs/>
    </w:rPr>
  </w:style>
  <w:style w:type="character" w:customStyle="1" w:styleId="CommentSubjectChar">
    <w:name w:val="Comment Subject Char"/>
    <w:basedOn w:val="CommentTextChar"/>
    <w:link w:val="CommentSubject"/>
    <w:uiPriority w:val="99"/>
    <w:semiHidden/>
    <w:rsid w:val="00E65CC6"/>
    <w:rPr>
      <w:b/>
      <w:bCs/>
      <w:sz w:val="20"/>
      <w:szCs w:val="20"/>
    </w:rPr>
  </w:style>
  <w:style w:type="character" w:customStyle="1" w:styleId="UnresolvedMention2">
    <w:name w:val="Unresolved Mention2"/>
    <w:basedOn w:val="DefaultParagraphFont"/>
    <w:uiPriority w:val="99"/>
    <w:semiHidden/>
    <w:unhideWhenUsed/>
    <w:rsid w:val="00C366B9"/>
    <w:rPr>
      <w:color w:val="605E5C"/>
      <w:shd w:val="clear" w:color="auto" w:fill="E1DFDD"/>
    </w:rPr>
  </w:style>
  <w:style w:type="character" w:styleId="FollowedHyperlink">
    <w:name w:val="FollowedHyperlink"/>
    <w:basedOn w:val="DefaultParagraphFont"/>
    <w:uiPriority w:val="99"/>
    <w:semiHidden/>
    <w:unhideWhenUsed/>
    <w:rsid w:val="00C9701D"/>
    <w:rPr>
      <w:color w:val="954F72" w:themeColor="followedHyperlink"/>
      <w:u w:val="single"/>
    </w:rPr>
  </w:style>
  <w:style w:type="paragraph" w:styleId="Revision">
    <w:name w:val="Revision"/>
    <w:hidden/>
    <w:uiPriority w:val="99"/>
    <w:semiHidden/>
    <w:rsid w:val="003C47C2"/>
    <w:pPr>
      <w:spacing w:after="0" w:line="240" w:lineRule="auto"/>
    </w:pPr>
  </w:style>
  <w:style w:type="paragraph" w:styleId="NoSpacing">
    <w:name w:val="No Spacing"/>
    <w:uiPriority w:val="1"/>
    <w:qFormat/>
    <w:rsid w:val="00E71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9362">
      <w:bodyDiv w:val="1"/>
      <w:marLeft w:val="0"/>
      <w:marRight w:val="0"/>
      <w:marTop w:val="0"/>
      <w:marBottom w:val="0"/>
      <w:divBdr>
        <w:top w:val="none" w:sz="0" w:space="0" w:color="auto"/>
        <w:left w:val="none" w:sz="0" w:space="0" w:color="auto"/>
        <w:bottom w:val="none" w:sz="0" w:space="0" w:color="auto"/>
        <w:right w:val="none" w:sz="0" w:space="0" w:color="auto"/>
      </w:divBdr>
    </w:div>
    <w:div w:id="290592913">
      <w:bodyDiv w:val="1"/>
      <w:marLeft w:val="0"/>
      <w:marRight w:val="0"/>
      <w:marTop w:val="0"/>
      <w:marBottom w:val="0"/>
      <w:divBdr>
        <w:top w:val="none" w:sz="0" w:space="0" w:color="auto"/>
        <w:left w:val="none" w:sz="0" w:space="0" w:color="auto"/>
        <w:bottom w:val="none" w:sz="0" w:space="0" w:color="auto"/>
        <w:right w:val="none" w:sz="0" w:space="0" w:color="auto"/>
      </w:divBdr>
    </w:div>
    <w:div w:id="370229971">
      <w:bodyDiv w:val="1"/>
      <w:marLeft w:val="0"/>
      <w:marRight w:val="0"/>
      <w:marTop w:val="0"/>
      <w:marBottom w:val="0"/>
      <w:divBdr>
        <w:top w:val="none" w:sz="0" w:space="0" w:color="auto"/>
        <w:left w:val="none" w:sz="0" w:space="0" w:color="auto"/>
        <w:bottom w:val="none" w:sz="0" w:space="0" w:color="auto"/>
        <w:right w:val="none" w:sz="0" w:space="0" w:color="auto"/>
      </w:divBdr>
    </w:div>
    <w:div w:id="448091500">
      <w:bodyDiv w:val="1"/>
      <w:marLeft w:val="0"/>
      <w:marRight w:val="0"/>
      <w:marTop w:val="0"/>
      <w:marBottom w:val="0"/>
      <w:divBdr>
        <w:top w:val="none" w:sz="0" w:space="0" w:color="auto"/>
        <w:left w:val="none" w:sz="0" w:space="0" w:color="auto"/>
        <w:bottom w:val="none" w:sz="0" w:space="0" w:color="auto"/>
        <w:right w:val="none" w:sz="0" w:space="0" w:color="auto"/>
      </w:divBdr>
    </w:div>
    <w:div w:id="551506063">
      <w:bodyDiv w:val="1"/>
      <w:marLeft w:val="0"/>
      <w:marRight w:val="0"/>
      <w:marTop w:val="0"/>
      <w:marBottom w:val="0"/>
      <w:divBdr>
        <w:top w:val="none" w:sz="0" w:space="0" w:color="auto"/>
        <w:left w:val="none" w:sz="0" w:space="0" w:color="auto"/>
        <w:bottom w:val="none" w:sz="0" w:space="0" w:color="auto"/>
        <w:right w:val="none" w:sz="0" w:space="0" w:color="auto"/>
      </w:divBdr>
    </w:div>
    <w:div w:id="552542271">
      <w:bodyDiv w:val="1"/>
      <w:marLeft w:val="0"/>
      <w:marRight w:val="0"/>
      <w:marTop w:val="0"/>
      <w:marBottom w:val="0"/>
      <w:divBdr>
        <w:top w:val="none" w:sz="0" w:space="0" w:color="auto"/>
        <w:left w:val="none" w:sz="0" w:space="0" w:color="auto"/>
        <w:bottom w:val="none" w:sz="0" w:space="0" w:color="auto"/>
        <w:right w:val="none" w:sz="0" w:space="0" w:color="auto"/>
      </w:divBdr>
      <w:divsChild>
        <w:div w:id="8602333">
          <w:marLeft w:val="547"/>
          <w:marRight w:val="0"/>
          <w:marTop w:val="134"/>
          <w:marBottom w:val="0"/>
          <w:divBdr>
            <w:top w:val="none" w:sz="0" w:space="0" w:color="auto"/>
            <w:left w:val="none" w:sz="0" w:space="0" w:color="auto"/>
            <w:bottom w:val="none" w:sz="0" w:space="0" w:color="auto"/>
            <w:right w:val="none" w:sz="0" w:space="0" w:color="auto"/>
          </w:divBdr>
        </w:div>
        <w:div w:id="11804355">
          <w:marLeft w:val="547"/>
          <w:marRight w:val="0"/>
          <w:marTop w:val="134"/>
          <w:marBottom w:val="0"/>
          <w:divBdr>
            <w:top w:val="none" w:sz="0" w:space="0" w:color="auto"/>
            <w:left w:val="none" w:sz="0" w:space="0" w:color="auto"/>
            <w:bottom w:val="none" w:sz="0" w:space="0" w:color="auto"/>
            <w:right w:val="none" w:sz="0" w:space="0" w:color="auto"/>
          </w:divBdr>
        </w:div>
        <w:div w:id="79764287">
          <w:marLeft w:val="547"/>
          <w:marRight w:val="0"/>
          <w:marTop w:val="134"/>
          <w:marBottom w:val="0"/>
          <w:divBdr>
            <w:top w:val="none" w:sz="0" w:space="0" w:color="auto"/>
            <w:left w:val="none" w:sz="0" w:space="0" w:color="auto"/>
            <w:bottom w:val="none" w:sz="0" w:space="0" w:color="auto"/>
            <w:right w:val="none" w:sz="0" w:space="0" w:color="auto"/>
          </w:divBdr>
        </w:div>
      </w:divsChild>
    </w:div>
    <w:div w:id="595551756">
      <w:bodyDiv w:val="1"/>
      <w:marLeft w:val="0"/>
      <w:marRight w:val="0"/>
      <w:marTop w:val="0"/>
      <w:marBottom w:val="0"/>
      <w:divBdr>
        <w:top w:val="none" w:sz="0" w:space="0" w:color="auto"/>
        <w:left w:val="none" w:sz="0" w:space="0" w:color="auto"/>
        <w:bottom w:val="none" w:sz="0" w:space="0" w:color="auto"/>
        <w:right w:val="none" w:sz="0" w:space="0" w:color="auto"/>
      </w:divBdr>
    </w:div>
    <w:div w:id="1369527584">
      <w:bodyDiv w:val="1"/>
      <w:marLeft w:val="0"/>
      <w:marRight w:val="0"/>
      <w:marTop w:val="0"/>
      <w:marBottom w:val="0"/>
      <w:divBdr>
        <w:top w:val="none" w:sz="0" w:space="0" w:color="auto"/>
        <w:left w:val="none" w:sz="0" w:space="0" w:color="auto"/>
        <w:bottom w:val="none" w:sz="0" w:space="0" w:color="auto"/>
        <w:right w:val="none" w:sz="0" w:space="0" w:color="auto"/>
      </w:divBdr>
    </w:div>
    <w:div w:id="1711105167">
      <w:bodyDiv w:val="1"/>
      <w:marLeft w:val="0"/>
      <w:marRight w:val="0"/>
      <w:marTop w:val="0"/>
      <w:marBottom w:val="0"/>
      <w:divBdr>
        <w:top w:val="none" w:sz="0" w:space="0" w:color="auto"/>
        <w:left w:val="none" w:sz="0" w:space="0" w:color="auto"/>
        <w:bottom w:val="none" w:sz="0" w:space="0" w:color="auto"/>
        <w:right w:val="none" w:sz="0" w:space="0" w:color="auto"/>
      </w:divBdr>
    </w:div>
    <w:div w:id="17824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yperlink" Target="https://www.efsa.europa.eu/en/data/chemical-hazards-data"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yperlink" Target="https://www.efsa.europa.eu/en/data/chemical-hazards-data" TargetMode="External"/><Relationship Id="rId42" Type="http://schemas.openxmlformats.org/officeDocument/2006/relationships/hyperlink" Target="http://www.qsartoolbox.org" TargetMode="External"/><Relationship Id="rId47" Type="http://schemas.openxmlformats.org/officeDocument/2006/relationships/hyperlink" Target="http://www.fao.org/fileadmin/templates/agphome/documents/Pests_Pesticides/Specs/Triadimefon_2011.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yperlink" Target="https://comptox.epa.gov/dashboard" TargetMode="External"/><Relationship Id="rId38" Type="http://schemas.openxmlformats.org/officeDocument/2006/relationships/hyperlink" Target="https://comptox.epa.gov/dashboard" TargetMode="External"/><Relationship Id="rId46" Type="http://schemas.openxmlformats.org/officeDocument/2006/relationships/hyperlink" Target="http://www.fao.org/fileadmin/templates/agphome/documents/Pests_Pesticides/JMPR/Report08/Prothioconazole.pdf"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41" Type="http://schemas.openxmlformats.org/officeDocument/2006/relationships/hyperlink" Target="https://ice.ntp.niehs.nih.gov/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yperlink" Target="http://www.qsartoolbox.org" TargetMode="External"/><Relationship Id="rId37" Type="http://schemas.openxmlformats.org/officeDocument/2006/relationships/hyperlink" Target="http://www.qsartoolbox.org" TargetMode="External"/><Relationship Id="rId40" Type="http://schemas.openxmlformats.org/officeDocument/2006/relationships/hyperlink" Target="https://pubchem.ncbi.nlm.nih.gov/compound/" TargetMode="External"/><Relationship Id="rId45" Type="http://schemas.openxmlformats.org/officeDocument/2006/relationships/hyperlink" Target="https://www.govinfo.gov/content/pkg/FR-1999-06-30/pdf/99-16545.pdf"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yperlink" Target="https://comptox.epa.gov/dashboard"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hyperlink" Target="http://www.qsartoolbox.org" TargetMode="External"/><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yperlink" Target="https://comptox.epa.gov/dashboard" TargetMode="External"/><Relationship Id="rId43" Type="http://schemas.openxmlformats.org/officeDocument/2006/relationships/image" Target="media/image22.png"/><Relationship Id="rId48" Type="http://schemas.openxmlformats.org/officeDocument/2006/relationships/fontTable" Target="fontTable.xml"/><Relationship Id="rId8" Type="http://schemas.openxmlformats.org/officeDocument/2006/relationships/hyperlink" Target="mailto:m.t.cronin@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A865-A4E3-4AD1-B018-5FE201A4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14434</Words>
  <Characters>82277</Characters>
  <Application>Microsoft Office Word</Application>
  <DocSecurity>0</DocSecurity>
  <Lines>685</Lines>
  <Paragraphs>193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Liverpool John Moores University</Company>
  <LinksUpToDate>false</LinksUpToDate>
  <CharactersWithSpaces>96518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Cronin, Mark</cp:lastModifiedBy>
  <cp:revision>4</cp:revision>
  <dcterms:created xsi:type="dcterms:W3CDTF">2022-01-29T11:34:00Z</dcterms:created>
  <dcterms:modified xsi:type="dcterms:W3CDTF">2022-01-29T11:35:00Z</dcterms:modified>
</cp:coreProperties>
</file>