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2AF0F" w14:textId="49F0EE6E" w:rsidR="00403146" w:rsidRPr="004C3DB2" w:rsidRDefault="00061889" w:rsidP="00403146">
      <w:pPr>
        <w:pStyle w:val="MDPI12title"/>
        <w:spacing w:line="240" w:lineRule="atLeast"/>
      </w:pPr>
      <w:bookmarkStart w:id="0" w:name="_GoBack"/>
      <w:bookmarkEnd w:id="0"/>
      <w:r w:rsidRPr="00DF3C81">
        <w:rPr>
          <w:rFonts w:ascii="Times New Roman" w:hAnsi="Times New Roman"/>
          <w:sz w:val="44"/>
        </w:rPr>
        <w:t>Supporting information:</w:t>
      </w:r>
    </w:p>
    <w:p w14:paraId="5586A5E0" w14:textId="302FAF44" w:rsidR="00082D24" w:rsidRPr="00403146" w:rsidRDefault="00403146" w:rsidP="00403146">
      <w:pPr>
        <w:pStyle w:val="MDPI12title"/>
        <w:spacing w:line="240" w:lineRule="atLeast"/>
      </w:pPr>
      <w:r w:rsidRPr="004C3DB2">
        <w:t>Star</w:t>
      </w:r>
      <w:r>
        <w:t>ch</w:t>
      </w:r>
      <w:r w:rsidRPr="004C3DB2">
        <w:t>-Chitosan Polyplexes: A Versatile Carrier System for Anti-Infectives and Gene Delivery</w:t>
      </w:r>
    </w:p>
    <w:p w14:paraId="6B394DAC" w14:textId="77777777" w:rsidR="00403146" w:rsidRPr="004C3DB2" w:rsidRDefault="00403146" w:rsidP="00403146">
      <w:pPr>
        <w:pStyle w:val="MDPI13authornames"/>
        <w:rPr>
          <w:rFonts w:eastAsia="AdvOT8608a8d1+20"/>
          <w:szCs w:val="24"/>
          <w:vertAlign w:val="superscript"/>
        </w:rPr>
      </w:pPr>
      <w:r w:rsidRPr="00403146">
        <w:t xml:space="preserve">Hanzey Yasar </w:t>
      </w:r>
      <w:r w:rsidRPr="00403146">
        <w:rPr>
          <w:vertAlign w:val="superscript"/>
        </w:rPr>
        <w:t>1,2,</w:t>
      </w:r>
      <w:r w:rsidRPr="00403146">
        <w:rPr>
          <w:rFonts w:eastAsia="AdvOT8608a8d1+20"/>
          <w:szCs w:val="24"/>
          <w:vertAlign w:val="superscript"/>
        </w:rPr>
        <w:t>†</w:t>
      </w:r>
      <w:r w:rsidRPr="00403146">
        <w:t>, Duy</w:t>
      </w:r>
      <w:r w:rsidRPr="004C3DB2">
        <w:t xml:space="preserve">-Khiet Ho </w:t>
      </w:r>
      <w:r w:rsidRPr="004C3DB2">
        <w:rPr>
          <w:vertAlign w:val="superscript"/>
        </w:rPr>
        <w:t>1,2,</w:t>
      </w:r>
      <w:r w:rsidRPr="004C3DB2">
        <w:rPr>
          <w:rFonts w:eastAsia="AdvOT8608a8d1+20"/>
          <w:szCs w:val="24"/>
          <w:vertAlign w:val="superscript"/>
        </w:rPr>
        <w:t>†</w:t>
      </w:r>
      <w:r w:rsidRPr="004C3DB2">
        <w:t xml:space="preserve">, Chiara De Rossi </w:t>
      </w:r>
      <w:r w:rsidRPr="004C3DB2">
        <w:rPr>
          <w:vertAlign w:val="superscript"/>
        </w:rPr>
        <w:t>1</w:t>
      </w:r>
      <w:r w:rsidRPr="004C3DB2">
        <w:t xml:space="preserve">, Jennifer Herrmann </w:t>
      </w:r>
      <w:r w:rsidRPr="004C3DB2">
        <w:rPr>
          <w:vertAlign w:val="superscript"/>
        </w:rPr>
        <w:t>1</w:t>
      </w:r>
      <w:r w:rsidRPr="004C3DB2">
        <w:t xml:space="preserve">, Sarah Gordon </w:t>
      </w:r>
      <w:r w:rsidRPr="004C3DB2">
        <w:rPr>
          <w:vertAlign w:val="superscript"/>
        </w:rPr>
        <w:t>1</w:t>
      </w:r>
      <w:r w:rsidRPr="004C3DB2">
        <w:t xml:space="preserve">, Brigitta Loretz </w:t>
      </w:r>
      <w:r w:rsidRPr="004C3DB2">
        <w:rPr>
          <w:vertAlign w:val="superscript"/>
        </w:rPr>
        <w:t>1,</w:t>
      </w:r>
      <w:r w:rsidRPr="004C3DB2">
        <w:rPr>
          <w:rFonts w:eastAsia="AdvOT8608a8d1+20"/>
          <w:szCs w:val="24"/>
        </w:rPr>
        <w:t>*</w:t>
      </w:r>
      <w:r w:rsidRPr="004C3DB2">
        <w:t xml:space="preserve"> and Claus-Michael Lehr </w:t>
      </w:r>
      <w:r w:rsidRPr="004C3DB2">
        <w:rPr>
          <w:vertAlign w:val="superscript"/>
        </w:rPr>
        <w:t>1,2</w:t>
      </w:r>
    </w:p>
    <w:p w14:paraId="7B96143F" w14:textId="22F7F376" w:rsidR="00403146" w:rsidRPr="004C3DB2" w:rsidRDefault="00403146" w:rsidP="00403146">
      <w:pPr>
        <w:pStyle w:val="MDPI16affiliation"/>
      </w:pPr>
      <w:r w:rsidRPr="004C3DB2">
        <w:rPr>
          <w:rFonts w:eastAsia="AdvOT8608a8d1+20"/>
          <w:color w:val="000000" w:themeColor="text1"/>
          <w:vertAlign w:val="superscript"/>
        </w:rPr>
        <w:t>1</w:t>
      </w:r>
      <w:r w:rsidRPr="004C3DB2">
        <w:rPr>
          <w:rFonts w:eastAsia="AdvOT8608a8d1+20"/>
          <w:color w:val="000000" w:themeColor="text1"/>
        </w:rPr>
        <w:tab/>
      </w:r>
      <w:r w:rsidRPr="004C3DB2">
        <w:t>Helmholtz Institute for Pharmaceutical Research Saarland (HIPS), Helmholtz Center for Infection Research (HZI), Saarland University, D-66123 Saarbrücken, Germany</w:t>
      </w:r>
    </w:p>
    <w:p w14:paraId="4793ABD6" w14:textId="77777777" w:rsidR="00403146" w:rsidRPr="004C3DB2" w:rsidRDefault="00403146" w:rsidP="00403146">
      <w:pPr>
        <w:pStyle w:val="MDPI16affiliation"/>
        <w:rPr>
          <w:b/>
        </w:rPr>
      </w:pPr>
      <w:r w:rsidRPr="004C3DB2">
        <w:rPr>
          <w:rFonts w:eastAsia="AdvOT8608a8d1+20"/>
          <w:color w:val="000000" w:themeColor="text1"/>
          <w:vertAlign w:val="superscript"/>
        </w:rPr>
        <w:t>2</w:t>
      </w:r>
      <w:r w:rsidRPr="004C3DB2">
        <w:rPr>
          <w:rFonts w:eastAsia="AdvOT8608a8d1+20"/>
          <w:color w:val="000000" w:themeColor="text1"/>
        </w:rPr>
        <w:tab/>
      </w:r>
      <w:r w:rsidRPr="004C3DB2">
        <w:t>Department of Pharmacy, Saarland University, D-66123 Saarbrücken, Germany</w:t>
      </w:r>
    </w:p>
    <w:p w14:paraId="640C12DC" w14:textId="5E553A3D" w:rsidR="00082D24" w:rsidRPr="00403146" w:rsidRDefault="00403146" w:rsidP="00403146">
      <w:pPr>
        <w:pStyle w:val="MDPI16affiliation"/>
      </w:pPr>
      <w:r w:rsidRPr="004C3DB2">
        <w:rPr>
          <w:rFonts w:eastAsia="AdvOT8608a8d1+20"/>
          <w:szCs w:val="24"/>
        </w:rPr>
        <w:t>†</w:t>
      </w:r>
      <w:r w:rsidRPr="004C3DB2">
        <w:rPr>
          <w:rFonts w:eastAsia="AdvOT8608a8d1+20"/>
          <w:color w:val="000000" w:themeColor="text1"/>
        </w:rPr>
        <w:tab/>
      </w:r>
      <w:r w:rsidRPr="004C3DB2">
        <w:t>These authors contributed equally to this work.</w:t>
      </w:r>
    </w:p>
    <w:p w14:paraId="66CF4487" w14:textId="77777777" w:rsidR="00DF3C81" w:rsidRDefault="00DF3C81" w:rsidP="00BD55DA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</w:p>
    <w:p w14:paraId="6FDF64BA" w14:textId="77777777" w:rsidR="00A16CBE" w:rsidRPr="00A16CBE" w:rsidRDefault="00A16CBE" w:rsidP="00BD55DA">
      <w:pPr>
        <w:spacing w:line="480" w:lineRule="auto"/>
        <w:jc w:val="both"/>
        <w:rPr>
          <w:rFonts w:ascii="Times" w:eastAsia="Times New Roman" w:hAnsi="Times" w:cs="Times New Roman"/>
          <w:b/>
          <w:sz w:val="24"/>
          <w:szCs w:val="20"/>
          <w:lang w:val="en-US"/>
        </w:rPr>
      </w:pPr>
      <w:r w:rsidRPr="00A16CBE">
        <w:rPr>
          <w:rFonts w:ascii="Times" w:eastAsia="Times New Roman" w:hAnsi="Times" w:cs="Times New Roman"/>
          <w:b/>
          <w:sz w:val="24"/>
          <w:szCs w:val="20"/>
          <w:lang w:val="en-US"/>
        </w:rPr>
        <w:t>Abbreviations</w:t>
      </w:r>
    </w:p>
    <w:p w14:paraId="28FDDECB" w14:textId="4CC7CA19" w:rsidR="00B96C07" w:rsidRPr="00403146" w:rsidRDefault="00C8704B" w:rsidP="00403146">
      <w:pPr>
        <w:adjustRightInd w:val="0"/>
        <w:snapToGrid w:val="0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8704B">
        <w:rPr>
          <w:rFonts w:ascii="Times New Roman" w:hAnsi="Times New Roman" w:cs="Times New Roman"/>
          <w:sz w:val="24"/>
          <w:szCs w:val="24"/>
          <w:lang w:val="en-US"/>
        </w:rPr>
        <w:t>CP – core polyplexes, anCP – anionic core polyplexes,</w:t>
      </w:r>
      <w:r w:rsidR="0095506A" w:rsidRPr="009550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06A" w:rsidRPr="00C8704B">
        <w:rPr>
          <w:rFonts w:ascii="Times New Roman" w:hAnsi="Times New Roman" w:cs="Times New Roman"/>
          <w:sz w:val="24"/>
          <w:szCs w:val="24"/>
          <w:lang w:val="en-US"/>
        </w:rPr>
        <w:t>cationic CP (or</w:t>
      </w:r>
      <w:r w:rsidRPr="00C8704B">
        <w:rPr>
          <w:rFonts w:ascii="Times New Roman" w:hAnsi="Times New Roman" w:cs="Times New Roman"/>
          <w:sz w:val="24"/>
          <w:szCs w:val="24"/>
          <w:lang w:val="en-US"/>
        </w:rPr>
        <w:t xml:space="preserve"> catCP</w:t>
      </w:r>
      <w:r w:rsidR="0095506A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8704B">
        <w:rPr>
          <w:rFonts w:ascii="Times New Roman" w:hAnsi="Times New Roman" w:cs="Times New Roman"/>
          <w:sz w:val="24"/>
          <w:szCs w:val="24"/>
          <w:lang w:val="en-US"/>
        </w:rPr>
        <w:t xml:space="preserve"> – cationic core polyplexes, cCP – coated polyplexes</w:t>
      </w:r>
    </w:p>
    <w:p w14:paraId="5B433EF1" w14:textId="7A02040D" w:rsidR="00082D24" w:rsidRPr="00403146" w:rsidRDefault="00082D24" w:rsidP="00403146">
      <w:pPr>
        <w:pStyle w:val="ListParagraph"/>
        <w:adjustRightInd w:val="0"/>
        <w:snapToGrid w:val="0"/>
        <w:spacing w:after="0" w:line="200" w:lineRule="exact"/>
        <w:ind w:left="425" w:right="425"/>
        <w:contextualSpacing w:val="0"/>
        <w:jc w:val="center"/>
        <w:rPr>
          <w:rFonts w:ascii="Palatino Linotype" w:hAnsi="Palatino Linotype" w:cs="Times"/>
          <w:sz w:val="20"/>
          <w:szCs w:val="20"/>
          <w:lang w:val="en-US"/>
        </w:rPr>
      </w:pP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Table S1. </w:t>
      </w:r>
      <w:r w:rsidR="00333EA0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Summary </w:t>
      </w: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of starch-chitosan </w:t>
      </w:r>
      <w:r w:rsidR="00CB44C2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>CP</w:t>
      </w: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characteri</w:t>
      </w:r>
      <w:r w:rsidR="00216A61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>stics obtained by</w:t>
      </w: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var</w:t>
      </w:r>
      <w:r w:rsidR="00216A61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>ying</w:t>
      </w: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polymer types,</w:t>
      </w:r>
      <w:r w:rsidR="00216A61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="00A16CBE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polymer </w:t>
      </w:r>
      <w:r w:rsidR="00216A61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>concentration, and</w:t>
      </w: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C/N molar ratio.</w:t>
      </w:r>
      <w:r w:rsidR="00A16CBE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="00A16CBE" w:rsidRPr="00403146">
        <w:rPr>
          <w:rFonts w:ascii="Palatino Linotype" w:hAnsi="Palatino Linotype" w:cs="Times"/>
          <w:i/>
          <w:sz w:val="20"/>
          <w:szCs w:val="20"/>
          <w:lang w:val="en-US"/>
        </w:rPr>
        <w:t xml:space="preserve">N </w:t>
      </w:r>
      <w:r w:rsidR="00A16CBE" w:rsidRPr="00403146">
        <w:rPr>
          <w:rFonts w:ascii="Palatino Linotype" w:hAnsi="Palatino Linotype" w:cs="Times"/>
          <w:sz w:val="20"/>
          <w:szCs w:val="20"/>
          <w:lang w:val="en-US"/>
        </w:rPr>
        <w:t xml:space="preserve">&gt; 3, n = 3, mean ± SD. </w:t>
      </w:r>
    </w:p>
    <w:p w14:paraId="3DD28B54" w14:textId="22EDE31E" w:rsidR="00866E5C" w:rsidRDefault="00A70020" w:rsidP="00967297">
      <w:pPr>
        <w:jc w:val="center"/>
        <w:rPr>
          <w:lang w:val="en-US"/>
        </w:rPr>
      </w:pPr>
      <w:r w:rsidRPr="00A70020">
        <w:rPr>
          <w:noProof/>
          <w:lang w:val="en-GB" w:eastAsia="en-GB"/>
        </w:rPr>
        <w:drawing>
          <wp:inline distT="0" distB="0" distL="0" distR="0" wp14:anchorId="1B2ECB52" wp14:editId="6825BE80">
            <wp:extent cx="5760720" cy="2162567"/>
            <wp:effectExtent l="0" t="0" r="0" b="952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62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45B23695" w14:textId="1FCCD420" w:rsidR="00403146" w:rsidRDefault="00CD0668" w:rsidP="00CD0668">
      <w:pPr>
        <w:jc w:val="both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403146">
        <w:rPr>
          <w:rFonts w:ascii="Palatino Linotype" w:hAnsi="Palatino Linotype" w:cs="Times"/>
          <w:sz w:val="20"/>
          <w:szCs w:val="20"/>
          <w:lang w:val="en-US"/>
        </w:rPr>
        <w:t xml:space="preserve">The anCP with C/N ratio 50/1 became precipitated after 3 days (data not shown) due to the low concentration of chitosan which might not be enough for the complexation and the resulted high polydispersity index under storage conditions </w:t>
      </w: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(4 </w:t>
      </w:r>
      <w:r w:rsidRPr="00403146">
        <w:rPr>
          <w:rFonts w:ascii="Palatino Linotype" w:eastAsia="Times New Roman" w:hAnsi="Palatino Linotype" w:cs="Times New Roman"/>
          <w:sz w:val="20"/>
          <w:szCs w:val="20"/>
          <w:vertAlign w:val="superscript"/>
          <w:lang w:val="en-US"/>
        </w:rPr>
        <w:t>o</w:t>
      </w: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>C). The catCP, in turn, could be formed with C/N ratio 1/30. However, the particles size had increasing tendency which is similar with that of catCP formed by C/N ratio 1/10 (data shown in Figure S1) and became precipitated after 5 days (data not shown). The observation would be explained by the adhesive nature of chitosan, and typical property of non-crosslinked polymeric polyplex system. Hence, the C/N ratio 10/1 and 1/10 were used to further experiment to produce anCP and catCP respectively.</w:t>
      </w:r>
    </w:p>
    <w:p w14:paraId="67FAE916" w14:textId="602202D1" w:rsidR="00CD0668" w:rsidRPr="00403146" w:rsidRDefault="00403146" w:rsidP="00403146">
      <w:pPr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>
        <w:rPr>
          <w:rFonts w:ascii="Palatino Linotype" w:eastAsia="Times New Roman" w:hAnsi="Palatino Linotype" w:cs="Times New Roman"/>
          <w:sz w:val="20"/>
          <w:szCs w:val="20"/>
          <w:lang w:val="en-US"/>
        </w:rPr>
        <w:br w:type="page"/>
      </w:r>
    </w:p>
    <w:p w14:paraId="5137DEF2" w14:textId="0C5EE38A" w:rsidR="00082D24" w:rsidRPr="00403146" w:rsidRDefault="00DD1B32" w:rsidP="00403146">
      <w:pPr>
        <w:adjustRightInd w:val="0"/>
        <w:snapToGrid w:val="0"/>
        <w:spacing w:after="0" w:line="200" w:lineRule="exact"/>
        <w:ind w:left="425" w:right="425"/>
        <w:jc w:val="center"/>
        <w:rPr>
          <w:rFonts w:ascii="Palatino Linotype" w:eastAsia="Times New Roman" w:hAnsi="Palatino Linotype" w:cs="Times New Roman"/>
          <w:sz w:val="20"/>
          <w:szCs w:val="20"/>
          <w:lang w:val="en-US"/>
        </w:rPr>
      </w:pPr>
      <w:r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lastRenderedPageBreak/>
        <w:t>Table S2</w:t>
      </w:r>
      <w:r w:rsidR="00082D24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. Summary of starch-chitosan </w:t>
      </w:r>
      <w:r w:rsidR="00CB44C2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CP </w:t>
      </w:r>
      <w:r w:rsidR="00082D24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>characterization with optimal C/N ratio varied by change of polymer concentration.</w:t>
      </w:r>
      <w:r w:rsidR="007B109A" w:rsidRPr="00403146">
        <w:rPr>
          <w:rFonts w:ascii="Palatino Linotype" w:eastAsia="Times New Roman" w:hAnsi="Palatino Linotype" w:cs="Times New Roman"/>
          <w:sz w:val="20"/>
          <w:szCs w:val="20"/>
          <w:lang w:val="en-US"/>
        </w:rPr>
        <w:t xml:space="preserve"> </w:t>
      </w:r>
      <w:r w:rsidR="007B109A" w:rsidRPr="00403146">
        <w:rPr>
          <w:rFonts w:ascii="Palatino Linotype" w:hAnsi="Palatino Linotype" w:cs="Times"/>
          <w:i/>
          <w:sz w:val="20"/>
          <w:szCs w:val="20"/>
          <w:lang w:val="en-US"/>
        </w:rPr>
        <w:t xml:space="preserve">N </w:t>
      </w:r>
      <w:r w:rsidR="007B109A" w:rsidRPr="00403146">
        <w:rPr>
          <w:rFonts w:ascii="Palatino Linotype" w:hAnsi="Palatino Linotype" w:cs="Times"/>
          <w:sz w:val="20"/>
          <w:szCs w:val="20"/>
          <w:lang w:val="en-US"/>
        </w:rPr>
        <w:t>&gt; 3, n = 3, mean ± SD</w:t>
      </w:r>
    </w:p>
    <w:p w14:paraId="49B74FB9" w14:textId="0E05D373" w:rsidR="007B109A" w:rsidRDefault="00A70020" w:rsidP="00967297">
      <w:pPr>
        <w:spacing w:after="0" w:line="360" w:lineRule="auto"/>
        <w:jc w:val="center"/>
        <w:rPr>
          <w:rFonts w:ascii="Times" w:eastAsia="Times New Roman" w:hAnsi="Times" w:cs="Times New Roman"/>
          <w:sz w:val="24"/>
          <w:szCs w:val="20"/>
          <w:lang w:val="en-US"/>
        </w:rPr>
      </w:pPr>
      <w:r w:rsidRPr="00A70020">
        <w:rPr>
          <w:rFonts w:ascii="Times" w:eastAsia="Times New Roman" w:hAnsi="Times" w:cs="Times New Roman"/>
          <w:noProof/>
          <w:sz w:val="24"/>
          <w:szCs w:val="20"/>
          <w:lang w:val="en-GB" w:eastAsia="en-GB"/>
        </w:rPr>
        <w:drawing>
          <wp:inline distT="0" distB="0" distL="0" distR="0" wp14:anchorId="2875A9C0" wp14:editId="6D927441">
            <wp:extent cx="5760720" cy="2473080"/>
            <wp:effectExtent l="0" t="0" r="0" b="381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7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2E54F33D" w14:textId="77777777" w:rsidR="00403146" w:rsidRDefault="00403146" w:rsidP="00BD55DA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</w:p>
    <w:p w14:paraId="58FC63F8" w14:textId="123C4CA4" w:rsidR="00DD1B32" w:rsidRDefault="00DD1B32" w:rsidP="00403146">
      <w:pPr>
        <w:adjustRightInd w:val="0"/>
        <w:snapToGrid w:val="0"/>
        <w:spacing w:after="0" w:line="200" w:lineRule="exact"/>
        <w:ind w:left="425" w:right="425"/>
        <w:jc w:val="center"/>
        <w:rPr>
          <w:rFonts w:ascii="Times" w:eastAsia="Times New Roman" w:hAnsi="Times" w:cs="Times New Roman"/>
          <w:sz w:val="24"/>
          <w:szCs w:val="20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Table S3. Summary of </w:t>
      </w:r>
      <w:r w:rsidR="00A16CBE">
        <w:rPr>
          <w:rFonts w:ascii="Times" w:eastAsia="Times New Roman" w:hAnsi="Times" w:cs="Times New Roman"/>
          <w:sz w:val="24"/>
          <w:szCs w:val="20"/>
          <w:lang w:val="en-US"/>
        </w:rPr>
        <w:t xml:space="preserve">anionic </w:t>
      </w:r>
      <w:r w:rsidR="00CB44C2">
        <w:rPr>
          <w:rFonts w:ascii="Times" w:eastAsia="Times New Roman" w:hAnsi="Times" w:cs="Times New Roman"/>
          <w:sz w:val="24"/>
          <w:szCs w:val="20"/>
          <w:lang w:val="en-US"/>
        </w:rPr>
        <w:t>CP</w:t>
      </w:r>
      <w:r w:rsidR="00EC7C77">
        <w:rPr>
          <w:rFonts w:ascii="Times" w:eastAsia="Times New Roman" w:hAnsi="Times" w:cs="Times New Roman"/>
          <w:sz w:val="24"/>
          <w:szCs w:val="20"/>
          <w:lang w:val="en-US"/>
        </w:rPr>
        <w:t xml:space="preserve"> (anCP)</w:t>
      </w:r>
      <w:r w:rsidR="00A16CBE">
        <w:rPr>
          <w:rFonts w:ascii="Times" w:eastAsia="Times New Roman" w:hAnsi="Times" w:cs="Times New Roman"/>
          <w:sz w:val="24"/>
          <w:szCs w:val="20"/>
          <w:lang w:val="en-US"/>
        </w:rPr>
        <w:t xml:space="preserve"> and Protasan coated anCP (cCP) </w:t>
      </w:r>
      <w:r w:rsidR="007B109A">
        <w:rPr>
          <w:rFonts w:ascii="Times" w:eastAsia="Times New Roman" w:hAnsi="Times" w:cs="Times New Roman"/>
          <w:sz w:val="24"/>
          <w:szCs w:val="20"/>
          <w:lang w:val="en-US"/>
        </w:rPr>
        <w:t>characteristics</w:t>
      </w:r>
      <w:r w:rsidR="00EC7C77">
        <w:rPr>
          <w:rFonts w:ascii="Times" w:eastAsia="Times New Roman" w:hAnsi="Times" w:cs="Times New Roman"/>
          <w:sz w:val="24"/>
          <w:szCs w:val="20"/>
          <w:lang w:val="en-US"/>
        </w:rPr>
        <w:t>, in which anCP was produced with parameters, namely C/N ratio 10/1, and polymer concentration at 6.5 mg/mL</w:t>
      </w:r>
      <w:r>
        <w:rPr>
          <w:rFonts w:ascii="Times" w:eastAsia="Times New Roman" w:hAnsi="Times" w:cs="Times New Roman"/>
          <w:sz w:val="24"/>
          <w:szCs w:val="20"/>
          <w:lang w:val="en-US"/>
        </w:rPr>
        <w:t>.</w:t>
      </w:r>
      <w:r w:rsidR="007B109A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7B109A">
        <w:rPr>
          <w:rFonts w:ascii="Times" w:hAnsi="Times" w:cs="Times"/>
          <w:i/>
          <w:sz w:val="24"/>
          <w:szCs w:val="24"/>
          <w:lang w:val="en-US"/>
        </w:rPr>
        <w:t xml:space="preserve">N </w:t>
      </w:r>
      <w:r w:rsidR="007B109A">
        <w:rPr>
          <w:rFonts w:ascii="Times" w:hAnsi="Times" w:cs="Times"/>
          <w:sz w:val="24"/>
          <w:szCs w:val="24"/>
          <w:lang w:val="en-US"/>
        </w:rPr>
        <w:t>&gt; 3, n = 3, mean ± SD</w:t>
      </w:r>
    </w:p>
    <w:p w14:paraId="65941741" w14:textId="4C077000" w:rsidR="00DD1B32" w:rsidRDefault="00A70020" w:rsidP="00403146">
      <w:pPr>
        <w:spacing w:after="0" w:line="360" w:lineRule="auto"/>
        <w:jc w:val="center"/>
        <w:rPr>
          <w:rFonts w:ascii="Times" w:eastAsia="Times New Roman" w:hAnsi="Times" w:cs="Times New Roman"/>
          <w:sz w:val="24"/>
          <w:szCs w:val="20"/>
          <w:lang w:val="en-US"/>
        </w:rPr>
      </w:pPr>
      <w:r w:rsidRPr="00A70020">
        <w:rPr>
          <w:rFonts w:ascii="Times" w:eastAsia="Times New Roman" w:hAnsi="Times" w:cs="Times New Roman"/>
          <w:noProof/>
          <w:sz w:val="24"/>
          <w:szCs w:val="20"/>
          <w:lang w:val="en-GB" w:eastAsia="en-GB"/>
        </w:rPr>
        <w:drawing>
          <wp:inline distT="0" distB="0" distL="0" distR="0" wp14:anchorId="54608F28" wp14:editId="005D0233">
            <wp:extent cx="2880000" cy="613491"/>
            <wp:effectExtent l="0" t="0" r="0" b="0"/>
            <wp:docPr id="30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613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429EF52" w14:textId="77777777" w:rsidR="007B109A" w:rsidRPr="007B109A" w:rsidRDefault="007B109A" w:rsidP="00BD55DA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</w:p>
    <w:p w14:paraId="1EFB362C" w14:textId="2ADE70EC" w:rsidR="00DD1B32" w:rsidRDefault="0063687E" w:rsidP="00BD55DA">
      <w:pPr>
        <w:spacing w:after="0" w:line="360" w:lineRule="auto"/>
        <w:jc w:val="center"/>
      </w:pPr>
      <w:r>
        <w:object w:dxaOrig="6300" w:dyaOrig="14695" w14:anchorId="21A2E2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6.1pt;height:594.35pt" o:ole="">
            <v:imagedata r:id="rId9" o:title=""/>
          </v:shape>
          <o:OLEObject Type="Embed" ProgID="Prism6.Document" ShapeID="_x0000_i1025" DrawAspect="Content" ObjectID="_1613542943" r:id="rId10"/>
        </w:object>
      </w:r>
    </w:p>
    <w:p w14:paraId="4C747C2D" w14:textId="707D1F1D" w:rsidR="004057F5" w:rsidRDefault="004057F5" w:rsidP="00403146">
      <w:pPr>
        <w:adjustRightInd w:val="0"/>
        <w:snapToGrid w:val="0"/>
        <w:spacing w:after="0" w:line="260" w:lineRule="exact"/>
        <w:ind w:left="425" w:right="425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t>Figure S1. Physicochemical s</w:t>
      </w:r>
      <w:r w:rsidR="00BD55DA">
        <w:rPr>
          <w:rFonts w:ascii="Times" w:eastAsia="Times New Roman" w:hAnsi="Times" w:cs="Times New Roman"/>
          <w:sz w:val="24"/>
          <w:szCs w:val="20"/>
          <w:lang w:val="en-US"/>
        </w:rPr>
        <w:t>tability of starch-chitosan CP</w:t>
      </w:r>
      <w:r w:rsidR="00CD0668">
        <w:rPr>
          <w:rFonts w:ascii="Times" w:eastAsia="Times New Roman" w:hAnsi="Times" w:cs="Times New Roman"/>
          <w:sz w:val="24"/>
          <w:szCs w:val="20"/>
          <w:lang w:val="en-US"/>
        </w:rPr>
        <w:t>, in which anCP was produced with C/N ratio 10/1, and catCP was produced with C/N ratio 1/10,</w:t>
      </w:r>
      <w:r w:rsidR="00BD55DA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3B537C">
        <w:rPr>
          <w:rFonts w:ascii="Times" w:eastAsia="Times New Roman" w:hAnsi="Times" w:cs="Times New Roman"/>
          <w:sz w:val="24"/>
          <w:szCs w:val="20"/>
          <w:lang w:val="en-US"/>
        </w:rPr>
        <w:t xml:space="preserve">upon 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storage (4 </w:t>
      </w:r>
      <w:r w:rsidRPr="00DD1B32">
        <w:rPr>
          <w:rFonts w:ascii="Times" w:eastAsia="Times New Roman" w:hAnsi="Times" w:cs="Times New Roman"/>
          <w:sz w:val="24"/>
          <w:szCs w:val="20"/>
          <w:vertAlign w:val="superscript"/>
          <w:lang w:val="en-US"/>
        </w:rPr>
        <w:t>o</w:t>
      </w:r>
      <w:r>
        <w:rPr>
          <w:rFonts w:ascii="Times" w:eastAsia="Times New Roman" w:hAnsi="Times" w:cs="Times New Roman"/>
          <w:sz w:val="24"/>
          <w:szCs w:val="20"/>
          <w:lang w:val="en-US"/>
        </w:rPr>
        <w:t>C)</w:t>
      </w:r>
      <w:r w:rsidR="007B109A">
        <w:rPr>
          <w:rFonts w:ascii="Times" w:eastAsia="Times New Roman" w:hAnsi="Times" w:cs="Times New Roman"/>
          <w:sz w:val="24"/>
          <w:szCs w:val="20"/>
          <w:lang w:val="en-US"/>
        </w:rPr>
        <w:t>.</w:t>
      </w:r>
      <w:r w:rsidR="00CD0668">
        <w:rPr>
          <w:rFonts w:ascii="Times" w:eastAsia="Times New Roman" w:hAnsi="Times" w:cs="Times New Roman"/>
          <w:sz w:val="24"/>
          <w:szCs w:val="20"/>
          <w:lang w:val="en-US"/>
        </w:rPr>
        <w:t xml:space="preserve"> The particles were diluted into MilliQ water at each time point for the measurement of size, PDI and </w:t>
      </w:r>
      <w:r w:rsidR="00CD0668" w:rsidRPr="00A13F3E">
        <w:rPr>
          <w:rFonts w:ascii="Times" w:eastAsia="Times New Roman" w:hAnsi="Times" w:cs="Times New Roman"/>
          <w:sz w:val="24"/>
          <w:szCs w:val="20"/>
          <w:lang w:val="en-US"/>
        </w:rPr>
        <w:t>ζ-potential</w:t>
      </w:r>
      <w:r w:rsidR="00CD0668">
        <w:rPr>
          <w:rFonts w:ascii="Times" w:eastAsia="Times New Roman" w:hAnsi="Times" w:cs="Times New Roman"/>
          <w:sz w:val="24"/>
          <w:szCs w:val="20"/>
          <w:lang w:val="en-US"/>
        </w:rPr>
        <w:t>.</w:t>
      </w:r>
      <w:r w:rsidR="007B109A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7B109A">
        <w:rPr>
          <w:rFonts w:ascii="Times" w:hAnsi="Times" w:cs="Times"/>
          <w:i/>
          <w:sz w:val="24"/>
          <w:szCs w:val="24"/>
          <w:lang w:val="en-US"/>
        </w:rPr>
        <w:t xml:space="preserve">N </w:t>
      </w:r>
      <w:r w:rsidR="00E846CC">
        <w:rPr>
          <w:rFonts w:ascii="Times" w:hAnsi="Times" w:cs="Times"/>
          <w:sz w:val="24"/>
          <w:szCs w:val="24"/>
          <w:lang w:val="en-US"/>
        </w:rPr>
        <w:t>=</w:t>
      </w:r>
      <w:r w:rsidR="007B109A">
        <w:rPr>
          <w:rFonts w:ascii="Times" w:hAnsi="Times" w:cs="Times"/>
          <w:sz w:val="24"/>
          <w:szCs w:val="24"/>
          <w:lang w:val="en-US"/>
        </w:rPr>
        <w:t xml:space="preserve"> 3, n = 3, mean ± SD</w:t>
      </w:r>
    </w:p>
    <w:p w14:paraId="6543C42C" w14:textId="77777777" w:rsidR="00DD1B32" w:rsidRDefault="00DD1B32" w:rsidP="00BD55DA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</w:p>
    <w:p w14:paraId="73C9B04F" w14:textId="77777777" w:rsidR="00DD1B32" w:rsidRDefault="00DD1B32" w:rsidP="00BD55DA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</w:p>
    <w:p w14:paraId="44836F62" w14:textId="77777777" w:rsidR="00C920F1" w:rsidRDefault="00C920F1" w:rsidP="00BD55DA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</w:p>
    <w:p w14:paraId="0154ECDB" w14:textId="4AB470E6" w:rsidR="00DD1B32" w:rsidRPr="00306419" w:rsidRDefault="00744996" w:rsidP="00BD55DA">
      <w:pPr>
        <w:spacing w:after="0" w:line="360" w:lineRule="auto"/>
        <w:jc w:val="center"/>
        <w:rPr>
          <w:rFonts w:ascii="Times" w:eastAsia="Times New Roman" w:hAnsi="Times" w:cs="Times New Roman"/>
          <w:sz w:val="24"/>
          <w:szCs w:val="20"/>
          <w:lang w:val="en-US"/>
        </w:rPr>
      </w:pPr>
      <w:r>
        <w:object w:dxaOrig="11366" w:dyaOrig="13836" w14:anchorId="5AAEA956">
          <v:shape id="_x0000_i1026" type="#_x0000_t75" style="width:453.75pt;height:551.55pt" o:ole="">
            <v:imagedata r:id="rId11" o:title=""/>
          </v:shape>
          <o:OLEObject Type="Embed" ProgID="Prism6.Document" ShapeID="_x0000_i1026" DrawAspect="Content" ObjectID="_1613542944" r:id="rId12"/>
        </w:object>
      </w:r>
    </w:p>
    <w:p w14:paraId="3F08E222" w14:textId="6156BDEB" w:rsidR="004057F5" w:rsidRDefault="004057F5" w:rsidP="0011382C">
      <w:pPr>
        <w:adjustRightInd w:val="0"/>
        <w:snapToGrid w:val="0"/>
        <w:spacing w:before="120" w:after="240" w:line="260" w:lineRule="exact"/>
        <w:ind w:left="425" w:right="425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t>Figure S2. Physicochemical stability of starch-chitosan anCP and cCP at different pH values ranging fro</w:t>
      </w:r>
      <w:r w:rsidR="00744996">
        <w:rPr>
          <w:rFonts w:ascii="Times" w:eastAsia="Times New Roman" w:hAnsi="Times" w:cs="Times New Roman"/>
          <w:sz w:val="24"/>
          <w:szCs w:val="20"/>
          <w:lang w:val="en-US"/>
        </w:rPr>
        <w:t xml:space="preserve">m 3.5 to 8.0, after 30 min and </w:t>
      </w:r>
      <w:r w:rsidR="00C8704B">
        <w:rPr>
          <w:rFonts w:ascii="Times" w:eastAsia="Times New Roman" w:hAnsi="Times" w:cs="Times New Roman"/>
          <w:sz w:val="24"/>
          <w:szCs w:val="20"/>
          <w:lang w:val="en-US"/>
        </w:rPr>
        <w:t xml:space="preserve">1 </w:t>
      </w:r>
      <w:r>
        <w:rPr>
          <w:rFonts w:ascii="Times" w:eastAsia="Times New Roman" w:hAnsi="Times" w:cs="Times New Roman"/>
          <w:sz w:val="24"/>
          <w:szCs w:val="20"/>
          <w:lang w:val="en-US"/>
        </w:rPr>
        <w:t>h incubation.</w:t>
      </w:r>
      <w:r w:rsidR="00E846CC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CD0668">
        <w:rPr>
          <w:rFonts w:ascii="Times" w:eastAsia="Times New Roman" w:hAnsi="Times" w:cs="Times New Roman"/>
          <w:sz w:val="24"/>
          <w:szCs w:val="20"/>
          <w:lang w:val="en-US"/>
        </w:rPr>
        <w:t xml:space="preserve">The initial pH- value of </w:t>
      </w:r>
      <w:r w:rsidR="00B70A5D">
        <w:rPr>
          <w:rFonts w:ascii="Times" w:eastAsia="Times New Roman" w:hAnsi="Times" w:cs="Times New Roman"/>
          <w:sz w:val="24"/>
          <w:szCs w:val="20"/>
          <w:lang w:val="en-US"/>
        </w:rPr>
        <w:t>th</w:t>
      </w:r>
      <w:r w:rsidR="003D7886">
        <w:rPr>
          <w:rFonts w:ascii="Times" w:eastAsia="Times New Roman" w:hAnsi="Times" w:cs="Times New Roman"/>
          <w:sz w:val="24"/>
          <w:szCs w:val="20"/>
          <w:lang w:val="en-US"/>
        </w:rPr>
        <w:t xml:space="preserve">e </w:t>
      </w:r>
      <w:r w:rsidR="00CD0668">
        <w:rPr>
          <w:rFonts w:ascii="Times" w:eastAsia="Times New Roman" w:hAnsi="Times" w:cs="Times New Roman"/>
          <w:sz w:val="24"/>
          <w:szCs w:val="20"/>
          <w:lang w:val="en-US"/>
        </w:rPr>
        <w:t xml:space="preserve">samples was 5.5. </w:t>
      </w:r>
      <w:r w:rsidR="00E846CC">
        <w:rPr>
          <w:rFonts w:ascii="Times" w:hAnsi="Times" w:cs="Times"/>
          <w:i/>
          <w:sz w:val="24"/>
          <w:szCs w:val="24"/>
          <w:lang w:val="en-US"/>
        </w:rPr>
        <w:t xml:space="preserve">N </w:t>
      </w:r>
      <w:r w:rsidR="00E846CC">
        <w:rPr>
          <w:rFonts w:ascii="Times" w:hAnsi="Times" w:cs="Times"/>
          <w:sz w:val="24"/>
          <w:szCs w:val="24"/>
          <w:lang w:val="en-US"/>
        </w:rPr>
        <w:t>= 3, n = 3, mean ± SD</w:t>
      </w:r>
    </w:p>
    <w:p w14:paraId="7F02DF72" w14:textId="77777777" w:rsidR="00E846CC" w:rsidRDefault="00E846CC" w:rsidP="00BD55DA">
      <w:pPr>
        <w:spacing w:after="0" w:line="360" w:lineRule="auto"/>
        <w:jc w:val="both"/>
        <w:rPr>
          <w:rFonts w:ascii="Times" w:hAnsi="Times" w:cs="Times"/>
          <w:sz w:val="24"/>
          <w:szCs w:val="24"/>
          <w:lang w:val="en-US"/>
        </w:rPr>
      </w:pPr>
    </w:p>
    <w:p w14:paraId="2C431446" w14:textId="77777777" w:rsidR="00E846CC" w:rsidRDefault="00E846CC" w:rsidP="00BD55DA">
      <w:pPr>
        <w:spacing w:after="0" w:line="360" w:lineRule="auto"/>
        <w:jc w:val="both"/>
        <w:rPr>
          <w:rFonts w:ascii="Times" w:hAnsi="Times" w:cs="Times"/>
          <w:sz w:val="24"/>
          <w:szCs w:val="24"/>
          <w:lang w:val="en-US"/>
        </w:rPr>
      </w:pPr>
    </w:p>
    <w:p w14:paraId="246D7EA6" w14:textId="626F5446" w:rsidR="0011382C" w:rsidRDefault="0011382C">
      <w:pPr>
        <w:rPr>
          <w:rFonts w:ascii="Times" w:eastAsia="Times New Roman" w:hAnsi="Times" w:cs="Times New Roman"/>
          <w:sz w:val="24"/>
          <w:szCs w:val="20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br w:type="page"/>
      </w:r>
    </w:p>
    <w:p w14:paraId="57F1482A" w14:textId="7FEE64D0" w:rsidR="00DD1B32" w:rsidRDefault="00DD1B32" w:rsidP="0011382C">
      <w:pPr>
        <w:adjustRightInd w:val="0"/>
        <w:snapToGrid w:val="0"/>
        <w:spacing w:after="0" w:line="200" w:lineRule="exact"/>
        <w:ind w:left="425" w:right="425"/>
        <w:jc w:val="center"/>
        <w:rPr>
          <w:rFonts w:ascii="Times" w:eastAsia="Times New Roman" w:hAnsi="Times" w:cs="Times New Roman"/>
          <w:sz w:val="24"/>
          <w:szCs w:val="20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lastRenderedPageBreak/>
        <w:t xml:space="preserve">Table S4. Summary of </w:t>
      </w:r>
      <w:r w:rsidR="0058120D">
        <w:rPr>
          <w:rFonts w:ascii="Times" w:eastAsia="Times New Roman" w:hAnsi="Times" w:cs="Times New Roman"/>
          <w:sz w:val="24"/>
          <w:szCs w:val="20"/>
          <w:lang w:val="en-US"/>
        </w:rPr>
        <w:t>t</w:t>
      </w:r>
      <w:r w:rsidR="00061889">
        <w:rPr>
          <w:rFonts w:ascii="Times" w:eastAsia="Times New Roman" w:hAnsi="Times" w:cs="Times New Roman"/>
          <w:sz w:val="24"/>
          <w:szCs w:val="20"/>
          <w:lang w:val="en-US"/>
        </w:rPr>
        <w:t>obramycin</w:t>
      </w:r>
      <w:r w:rsidR="0058120D">
        <w:rPr>
          <w:rFonts w:ascii="Times" w:eastAsia="Times New Roman" w:hAnsi="Times" w:cs="Times New Roman"/>
          <w:sz w:val="24"/>
          <w:szCs w:val="20"/>
          <w:lang w:val="en-US"/>
        </w:rPr>
        <w:t>-</w:t>
      </w:r>
      <w:r w:rsidR="00061889">
        <w:rPr>
          <w:rFonts w:ascii="Times" w:eastAsia="Times New Roman" w:hAnsi="Times" w:cs="Times New Roman"/>
          <w:sz w:val="24"/>
          <w:szCs w:val="20"/>
          <w:lang w:val="en-US"/>
        </w:rPr>
        <w:t xml:space="preserve">loaded </w:t>
      </w:r>
      <w:r w:rsidR="00CB44C2">
        <w:rPr>
          <w:rFonts w:ascii="Times" w:eastAsia="Times New Roman" w:hAnsi="Times" w:cs="Times New Roman"/>
          <w:sz w:val="24"/>
          <w:szCs w:val="20"/>
          <w:lang w:val="en-US"/>
        </w:rPr>
        <w:t>anCP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58120D">
        <w:rPr>
          <w:rFonts w:ascii="Times" w:eastAsia="Times New Roman" w:hAnsi="Times" w:cs="Times New Roman"/>
          <w:sz w:val="24"/>
          <w:szCs w:val="20"/>
          <w:lang w:val="en-US"/>
        </w:rPr>
        <w:t xml:space="preserve">characteristics achieved by </w:t>
      </w:r>
      <w:r w:rsidR="00061889">
        <w:rPr>
          <w:rFonts w:ascii="Times" w:eastAsia="Times New Roman" w:hAnsi="Times" w:cs="Times New Roman"/>
          <w:sz w:val="24"/>
          <w:szCs w:val="20"/>
          <w:lang w:val="en-US"/>
        </w:rPr>
        <w:t>vari</w:t>
      </w:r>
      <w:r w:rsidR="0058120D">
        <w:rPr>
          <w:rFonts w:ascii="Times" w:eastAsia="Times New Roman" w:hAnsi="Times" w:cs="Times New Roman"/>
          <w:sz w:val="24"/>
          <w:szCs w:val="20"/>
          <w:lang w:val="en-US"/>
        </w:rPr>
        <w:t>ation of</w:t>
      </w:r>
      <w:r w:rsidR="00061889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>
        <w:rPr>
          <w:rFonts w:ascii="Times" w:eastAsia="Times New Roman" w:hAnsi="Times" w:cs="Times New Roman"/>
          <w:sz w:val="24"/>
          <w:szCs w:val="20"/>
          <w:lang w:val="en-US"/>
        </w:rPr>
        <w:t>C/N ratio</w:t>
      </w:r>
      <w:r w:rsidR="00061889">
        <w:rPr>
          <w:rFonts w:ascii="Times" w:eastAsia="Times New Roman" w:hAnsi="Times" w:cs="Times New Roman"/>
          <w:sz w:val="24"/>
          <w:szCs w:val="20"/>
          <w:lang w:val="en-US"/>
        </w:rPr>
        <w:t xml:space="preserve"> and polymer concentration.</w:t>
      </w:r>
      <w:r w:rsidR="00E846CC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E846CC">
        <w:rPr>
          <w:rFonts w:ascii="Times" w:hAnsi="Times" w:cs="Times"/>
          <w:i/>
          <w:sz w:val="24"/>
          <w:szCs w:val="24"/>
          <w:lang w:val="en-US"/>
        </w:rPr>
        <w:t xml:space="preserve">N </w:t>
      </w:r>
      <w:r w:rsidR="00E846CC">
        <w:rPr>
          <w:rFonts w:ascii="Times" w:hAnsi="Times" w:cs="Times"/>
          <w:sz w:val="24"/>
          <w:szCs w:val="24"/>
          <w:lang w:val="en-US"/>
        </w:rPr>
        <w:t>&gt; 3, n = 3, mean ± SD</w:t>
      </w:r>
    </w:p>
    <w:p w14:paraId="33275B33" w14:textId="196D345A" w:rsidR="00061889" w:rsidRDefault="00602F88" w:rsidP="00967297">
      <w:pPr>
        <w:spacing w:after="0" w:line="360" w:lineRule="auto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  <w:r w:rsidRPr="00602F88">
        <w:rPr>
          <w:rFonts w:ascii="Times" w:eastAsia="Times New Roman" w:hAnsi="Times" w:cs="Times New Roman"/>
          <w:noProof/>
          <w:sz w:val="26"/>
          <w:szCs w:val="20"/>
          <w:lang w:val="en-GB" w:eastAsia="en-GB"/>
        </w:rPr>
        <w:drawing>
          <wp:inline distT="0" distB="0" distL="0" distR="0" wp14:anchorId="5F156738" wp14:editId="5596F9EA">
            <wp:extent cx="5760720" cy="2144806"/>
            <wp:effectExtent l="0" t="0" r="0" b="8255"/>
            <wp:docPr id="409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4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07E27325" w14:textId="2679EAF8" w:rsidR="00061889" w:rsidRDefault="00061889" w:rsidP="0011382C">
      <w:pPr>
        <w:adjustRightInd w:val="0"/>
        <w:snapToGrid w:val="0"/>
        <w:spacing w:after="0" w:line="200" w:lineRule="atLeast"/>
        <w:ind w:left="425" w:right="425"/>
        <w:jc w:val="center"/>
        <w:rPr>
          <w:rFonts w:ascii="Times" w:eastAsia="Times New Roman" w:hAnsi="Times" w:cs="Times New Roman"/>
          <w:sz w:val="24"/>
          <w:szCs w:val="20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Table S5. Summary of </w:t>
      </w:r>
      <w:r w:rsidR="0058120D">
        <w:rPr>
          <w:rFonts w:ascii="Times" w:eastAsia="Times New Roman" w:hAnsi="Times" w:cs="Times New Roman"/>
          <w:sz w:val="24"/>
          <w:szCs w:val="20"/>
          <w:lang w:val="en-US"/>
        </w:rPr>
        <w:t>c</w:t>
      </w:r>
      <w:r>
        <w:rPr>
          <w:rFonts w:ascii="Times" w:eastAsia="Times New Roman" w:hAnsi="Times" w:cs="Times New Roman"/>
          <w:sz w:val="24"/>
          <w:szCs w:val="20"/>
          <w:lang w:val="en-US"/>
        </w:rPr>
        <w:t>olistin</w:t>
      </w:r>
      <w:r w:rsidR="0058120D">
        <w:rPr>
          <w:rFonts w:ascii="Times" w:eastAsia="Times New Roman" w:hAnsi="Times" w:cs="Times New Roman"/>
          <w:sz w:val="24"/>
          <w:szCs w:val="20"/>
          <w:lang w:val="en-US"/>
        </w:rPr>
        <w:t>-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loaded </w:t>
      </w:r>
      <w:r w:rsidR="00CB44C2">
        <w:rPr>
          <w:rFonts w:ascii="Times" w:eastAsia="Times New Roman" w:hAnsi="Times" w:cs="Times New Roman"/>
          <w:sz w:val="24"/>
          <w:szCs w:val="20"/>
          <w:lang w:val="en-US"/>
        </w:rPr>
        <w:t>anCP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58120D">
        <w:rPr>
          <w:rFonts w:ascii="Times" w:eastAsia="Times New Roman" w:hAnsi="Times" w:cs="Times New Roman"/>
          <w:sz w:val="24"/>
          <w:szCs w:val="20"/>
          <w:lang w:val="en-US"/>
        </w:rPr>
        <w:t xml:space="preserve">characteristics resulting from variation </w:t>
      </w:r>
      <w:r w:rsidR="003B537C">
        <w:rPr>
          <w:rFonts w:ascii="Times" w:eastAsia="Times New Roman" w:hAnsi="Times" w:cs="Times New Roman"/>
          <w:sz w:val="24"/>
          <w:szCs w:val="20"/>
          <w:lang w:val="en-US"/>
        </w:rPr>
        <w:t xml:space="preserve">of </w:t>
      </w:r>
      <w:r>
        <w:rPr>
          <w:rFonts w:ascii="Times" w:eastAsia="Times New Roman" w:hAnsi="Times" w:cs="Times New Roman"/>
          <w:sz w:val="24"/>
          <w:szCs w:val="20"/>
          <w:lang w:val="en-US"/>
        </w:rPr>
        <w:t>polymer concentration.</w:t>
      </w:r>
      <w:r w:rsidR="00E846CC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E846CC">
        <w:rPr>
          <w:rFonts w:ascii="Times" w:hAnsi="Times" w:cs="Times"/>
          <w:i/>
          <w:sz w:val="24"/>
          <w:szCs w:val="24"/>
          <w:lang w:val="en-US"/>
        </w:rPr>
        <w:t xml:space="preserve">N </w:t>
      </w:r>
      <w:r w:rsidR="00E846CC">
        <w:rPr>
          <w:rFonts w:ascii="Times" w:hAnsi="Times" w:cs="Times"/>
          <w:sz w:val="24"/>
          <w:szCs w:val="24"/>
          <w:lang w:val="en-US"/>
        </w:rPr>
        <w:t>&gt; 3, n = 3, mean ± SD</w:t>
      </w:r>
    </w:p>
    <w:p w14:paraId="32286232" w14:textId="2970D575" w:rsidR="00B96C07" w:rsidRDefault="00602F88" w:rsidP="00967297">
      <w:pPr>
        <w:spacing w:after="0" w:line="360" w:lineRule="auto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  <w:r w:rsidRPr="00602F88">
        <w:rPr>
          <w:rFonts w:ascii="Times" w:eastAsia="Times New Roman" w:hAnsi="Times" w:cs="Times New Roman"/>
          <w:noProof/>
          <w:sz w:val="26"/>
          <w:szCs w:val="20"/>
          <w:lang w:val="en-GB" w:eastAsia="en-GB"/>
        </w:rPr>
        <w:drawing>
          <wp:inline distT="0" distB="0" distL="0" distR="0" wp14:anchorId="4CD95DF1" wp14:editId="5E1E0EC6">
            <wp:extent cx="5760720" cy="1102413"/>
            <wp:effectExtent l="0" t="0" r="0" b="2540"/>
            <wp:docPr id="5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662FC777" w14:textId="469466DA" w:rsidR="00061889" w:rsidRDefault="00061889" w:rsidP="0011382C">
      <w:pPr>
        <w:adjustRightInd w:val="0"/>
        <w:snapToGrid w:val="0"/>
        <w:spacing w:after="0" w:line="200" w:lineRule="atLeast"/>
        <w:ind w:left="425" w:right="425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  <w:bookmarkStart w:id="1" w:name="_Hlk507594008"/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Table S6. Summary of drug loading quantification of </w:t>
      </w:r>
      <w:r w:rsidR="00FD033E">
        <w:rPr>
          <w:rFonts w:ascii="Times" w:eastAsia="Times New Roman" w:hAnsi="Times" w:cs="Times New Roman"/>
          <w:sz w:val="24"/>
          <w:szCs w:val="20"/>
          <w:lang w:val="en-US"/>
        </w:rPr>
        <w:t>t</w:t>
      </w:r>
      <w:r>
        <w:rPr>
          <w:rFonts w:ascii="Times" w:eastAsia="Times New Roman" w:hAnsi="Times" w:cs="Times New Roman"/>
          <w:sz w:val="24"/>
          <w:szCs w:val="20"/>
          <w:lang w:val="en-US"/>
        </w:rPr>
        <w:t>obramycin</w:t>
      </w:r>
      <w:r w:rsidR="00FD033E">
        <w:rPr>
          <w:rFonts w:ascii="Times" w:eastAsia="Times New Roman" w:hAnsi="Times" w:cs="Times New Roman"/>
          <w:sz w:val="24"/>
          <w:szCs w:val="20"/>
          <w:lang w:val="en-US"/>
        </w:rPr>
        <w:t>-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loaded </w:t>
      </w:r>
      <w:r w:rsidR="00CB44C2">
        <w:rPr>
          <w:rFonts w:ascii="Times" w:eastAsia="Times New Roman" w:hAnsi="Times" w:cs="Times New Roman"/>
          <w:sz w:val="24"/>
          <w:szCs w:val="20"/>
          <w:lang w:val="en-US"/>
        </w:rPr>
        <w:t>anCP</w:t>
      </w:r>
      <w:r>
        <w:rPr>
          <w:rFonts w:ascii="Times" w:eastAsia="Times New Roman" w:hAnsi="Times" w:cs="Times New Roman"/>
          <w:sz w:val="24"/>
          <w:szCs w:val="20"/>
          <w:lang w:val="en-US"/>
        </w:rPr>
        <w:t>.</w:t>
      </w:r>
      <w:r w:rsidR="00E846CC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E846CC">
        <w:rPr>
          <w:rFonts w:ascii="Times" w:hAnsi="Times" w:cs="Times"/>
          <w:i/>
          <w:sz w:val="24"/>
          <w:szCs w:val="24"/>
          <w:lang w:val="en-US"/>
        </w:rPr>
        <w:t xml:space="preserve">N </w:t>
      </w:r>
      <w:r w:rsidR="00E846CC">
        <w:rPr>
          <w:rFonts w:ascii="Times" w:hAnsi="Times" w:cs="Times"/>
          <w:sz w:val="24"/>
          <w:szCs w:val="24"/>
          <w:lang w:val="en-US"/>
        </w:rPr>
        <w:t>&gt; 3, n = 3, mean ± SD</w:t>
      </w:r>
    </w:p>
    <w:bookmarkEnd w:id="1"/>
    <w:p w14:paraId="01FE63C7" w14:textId="30362C42" w:rsidR="00061889" w:rsidRDefault="007B109A" w:rsidP="00967297">
      <w:pPr>
        <w:spacing w:after="0" w:line="360" w:lineRule="auto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  <w:r w:rsidRPr="007B109A">
        <w:rPr>
          <w:rFonts w:ascii="Times" w:eastAsia="Times New Roman" w:hAnsi="Times" w:cs="Times New Roman"/>
          <w:noProof/>
          <w:sz w:val="26"/>
          <w:szCs w:val="20"/>
          <w:lang w:val="en-GB" w:eastAsia="en-GB"/>
        </w:rPr>
        <w:drawing>
          <wp:inline distT="0" distB="0" distL="0" distR="0" wp14:anchorId="10570EC7" wp14:editId="11373C72">
            <wp:extent cx="4849977" cy="2100660"/>
            <wp:effectExtent l="0" t="0" r="8255" b="0"/>
            <wp:docPr id="81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3059" cy="210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1028157B" w14:textId="50A60C40" w:rsidR="00061889" w:rsidRDefault="00061889" w:rsidP="0011382C">
      <w:pPr>
        <w:adjustRightInd w:val="0"/>
        <w:snapToGrid w:val="0"/>
        <w:spacing w:after="0" w:line="200" w:lineRule="atLeast"/>
        <w:ind w:left="425" w:right="425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Table S7. </w:t>
      </w:r>
      <w:bookmarkStart w:id="2" w:name="_Hlk507594064"/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Summary of drug loading quantification of </w:t>
      </w:r>
      <w:r w:rsidR="00630361">
        <w:rPr>
          <w:rFonts w:ascii="Times" w:eastAsia="Times New Roman" w:hAnsi="Times" w:cs="Times New Roman"/>
          <w:sz w:val="24"/>
          <w:szCs w:val="20"/>
          <w:lang w:val="en-US"/>
        </w:rPr>
        <w:t>c</w:t>
      </w:r>
      <w:r>
        <w:rPr>
          <w:rFonts w:ascii="Times" w:eastAsia="Times New Roman" w:hAnsi="Times" w:cs="Times New Roman"/>
          <w:sz w:val="24"/>
          <w:szCs w:val="20"/>
          <w:lang w:val="en-US"/>
        </w:rPr>
        <w:t>olistin</w:t>
      </w:r>
      <w:r w:rsidR="00630361">
        <w:rPr>
          <w:rFonts w:ascii="Times" w:eastAsia="Times New Roman" w:hAnsi="Times" w:cs="Times New Roman"/>
          <w:sz w:val="24"/>
          <w:szCs w:val="20"/>
          <w:lang w:val="en-US"/>
        </w:rPr>
        <w:t>-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loaded </w:t>
      </w:r>
      <w:r w:rsidR="00CB44C2">
        <w:rPr>
          <w:rFonts w:ascii="Times" w:eastAsia="Times New Roman" w:hAnsi="Times" w:cs="Times New Roman"/>
          <w:sz w:val="24"/>
          <w:szCs w:val="20"/>
          <w:lang w:val="en-US"/>
        </w:rPr>
        <w:t>anCP</w:t>
      </w:r>
      <w:r>
        <w:rPr>
          <w:rFonts w:ascii="Times" w:eastAsia="Times New Roman" w:hAnsi="Times" w:cs="Times New Roman"/>
          <w:sz w:val="24"/>
          <w:szCs w:val="20"/>
          <w:lang w:val="en-US"/>
        </w:rPr>
        <w:t>.</w:t>
      </w:r>
      <w:r w:rsidR="00E846CC">
        <w:rPr>
          <w:rFonts w:ascii="Times" w:eastAsia="Times New Roman" w:hAnsi="Times" w:cs="Times New Roman"/>
          <w:sz w:val="24"/>
          <w:szCs w:val="20"/>
          <w:lang w:val="en-US"/>
        </w:rPr>
        <w:t xml:space="preserve"> </w:t>
      </w:r>
      <w:r w:rsidR="00E846CC">
        <w:rPr>
          <w:rFonts w:ascii="Times" w:hAnsi="Times" w:cs="Times"/>
          <w:i/>
          <w:sz w:val="24"/>
          <w:szCs w:val="24"/>
          <w:lang w:val="en-US"/>
        </w:rPr>
        <w:t xml:space="preserve">N </w:t>
      </w:r>
      <w:r w:rsidR="00E846CC">
        <w:rPr>
          <w:rFonts w:ascii="Times" w:hAnsi="Times" w:cs="Times"/>
          <w:sz w:val="24"/>
          <w:szCs w:val="24"/>
          <w:lang w:val="en-US"/>
        </w:rPr>
        <w:t>&gt; 3, n = 3, mean ± SD</w:t>
      </w:r>
      <w:bookmarkEnd w:id="2"/>
    </w:p>
    <w:p w14:paraId="6CCCCCAC" w14:textId="7E649B33" w:rsidR="00061889" w:rsidRDefault="007B109A" w:rsidP="00967297">
      <w:pPr>
        <w:spacing w:after="0" w:line="360" w:lineRule="auto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  <w:r w:rsidRPr="007B109A">
        <w:rPr>
          <w:rFonts w:ascii="Times" w:eastAsia="Times New Roman" w:hAnsi="Times" w:cs="Times New Roman"/>
          <w:noProof/>
          <w:sz w:val="26"/>
          <w:szCs w:val="20"/>
          <w:lang w:val="en-GB" w:eastAsia="en-GB"/>
        </w:rPr>
        <w:drawing>
          <wp:inline distT="0" distB="0" distL="0" distR="0" wp14:anchorId="74A2E950" wp14:editId="76A3754E">
            <wp:extent cx="4681728" cy="1071133"/>
            <wp:effectExtent l="0" t="0" r="5080" b="0"/>
            <wp:docPr id="921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19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208" cy="1072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701F9569" w14:textId="77777777" w:rsidR="00B04DD1" w:rsidRDefault="00B04DD1" w:rsidP="00BD55DA">
      <w:pPr>
        <w:spacing w:after="0" w:line="360" w:lineRule="auto"/>
        <w:jc w:val="both"/>
        <w:rPr>
          <w:rFonts w:ascii="Times" w:eastAsia="Times New Roman" w:hAnsi="Times" w:cs="Times New Roman"/>
          <w:sz w:val="26"/>
          <w:szCs w:val="20"/>
          <w:lang w:val="en-US"/>
        </w:rPr>
      </w:pPr>
    </w:p>
    <w:p w14:paraId="054365B2" w14:textId="1F3AD462" w:rsidR="007C6402" w:rsidRDefault="007C6402" w:rsidP="007C6402">
      <w:pPr>
        <w:spacing w:after="0" w:line="360" w:lineRule="auto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  <w:r w:rsidRPr="007C6402">
        <w:rPr>
          <w:rFonts w:ascii="Times" w:eastAsia="Times New Roman" w:hAnsi="Times" w:cs="Times New Roman"/>
          <w:noProof/>
          <w:sz w:val="26"/>
          <w:szCs w:val="20"/>
          <w:lang w:val="en-GB" w:eastAsia="en-GB"/>
        </w:rPr>
        <w:lastRenderedPageBreak/>
        <w:drawing>
          <wp:inline distT="0" distB="0" distL="0" distR="0" wp14:anchorId="2EF270BF" wp14:editId="0F472F2C">
            <wp:extent cx="2880000" cy="2203326"/>
            <wp:effectExtent l="0" t="0" r="0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203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14:paraId="301035DB" w14:textId="33ED0FE7" w:rsidR="00CD0668" w:rsidRDefault="00CD0668" w:rsidP="0011382C">
      <w:pPr>
        <w:adjustRightInd w:val="0"/>
        <w:snapToGrid w:val="0"/>
        <w:spacing w:before="120" w:after="240" w:line="260" w:lineRule="exact"/>
        <w:ind w:left="425" w:right="425"/>
        <w:jc w:val="both"/>
        <w:rPr>
          <w:rFonts w:ascii="Times" w:hAnsi="Times" w:cs="Times"/>
          <w:sz w:val="24"/>
          <w:szCs w:val="24"/>
          <w:lang w:val="en-US"/>
        </w:rPr>
      </w:pPr>
      <w:r>
        <w:rPr>
          <w:rFonts w:ascii="Times" w:eastAsia="Times New Roman" w:hAnsi="Times" w:cs="Times New Roman"/>
          <w:sz w:val="24"/>
          <w:szCs w:val="20"/>
          <w:lang w:val="en-US"/>
        </w:rPr>
        <w:t>Figure S</w:t>
      </w:r>
      <w:r w:rsidR="00976D0A">
        <w:rPr>
          <w:rFonts w:ascii="Times" w:eastAsia="Times New Roman" w:hAnsi="Times" w:cs="Times New Roman"/>
          <w:sz w:val="24"/>
          <w:szCs w:val="20"/>
          <w:lang w:val="en-US"/>
        </w:rPr>
        <w:t>3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. </w:t>
      </w:r>
      <w:r w:rsidRPr="00B04DD1">
        <w:rPr>
          <w:rFonts w:ascii="Times" w:eastAsia="Times New Roman" w:hAnsi="Times" w:cs="Times New Roman"/>
          <w:sz w:val="24"/>
          <w:szCs w:val="20"/>
          <w:lang w:val="en-US"/>
        </w:rPr>
        <w:t xml:space="preserve">Cumulative release of </w:t>
      </w:r>
      <w:r>
        <w:rPr>
          <w:rFonts w:ascii="Times" w:eastAsia="Times New Roman" w:hAnsi="Times" w:cs="Times New Roman"/>
          <w:sz w:val="24"/>
          <w:szCs w:val="20"/>
          <w:lang w:val="en-US"/>
        </w:rPr>
        <w:t>tobramycin from tobramycin loaded anCP, and colistin from colistin loaded anCP performed in PBS at 37 °</w:t>
      </w:r>
      <w:r w:rsidRPr="00B04DD1">
        <w:rPr>
          <w:rFonts w:ascii="Times" w:eastAsia="Times New Roman" w:hAnsi="Times" w:cs="Times New Roman"/>
          <w:sz w:val="24"/>
          <w:szCs w:val="20"/>
          <w:lang w:val="en-US"/>
        </w:rPr>
        <w:t>C</w:t>
      </w:r>
      <w:r>
        <w:rPr>
          <w:rFonts w:ascii="Times" w:eastAsia="Times New Roman" w:hAnsi="Times" w:cs="Times New Roman"/>
          <w:sz w:val="24"/>
          <w:szCs w:val="20"/>
          <w:lang w:val="en-US"/>
        </w:rPr>
        <w:t xml:space="preserve">. </w:t>
      </w:r>
      <w:r>
        <w:rPr>
          <w:rFonts w:ascii="Times" w:hAnsi="Times" w:cs="Times"/>
          <w:i/>
          <w:sz w:val="24"/>
          <w:szCs w:val="24"/>
          <w:lang w:val="en-US"/>
        </w:rPr>
        <w:t xml:space="preserve">N </w:t>
      </w:r>
      <w:r>
        <w:rPr>
          <w:rFonts w:ascii="Times" w:hAnsi="Times" w:cs="Times"/>
          <w:sz w:val="24"/>
          <w:szCs w:val="24"/>
          <w:lang w:val="en-US"/>
        </w:rPr>
        <w:t>= 3, n = 3, mean ± SD</w:t>
      </w:r>
    </w:p>
    <w:p w14:paraId="18FB6E0E" w14:textId="77777777" w:rsidR="00CD0668" w:rsidRDefault="00CD0668" w:rsidP="00B04DD1">
      <w:pPr>
        <w:spacing w:after="0" w:line="360" w:lineRule="auto"/>
        <w:jc w:val="both"/>
        <w:rPr>
          <w:rFonts w:ascii="Times" w:eastAsia="Times New Roman" w:hAnsi="Times" w:cs="Times New Roman"/>
          <w:sz w:val="24"/>
          <w:szCs w:val="20"/>
          <w:lang w:val="en-US"/>
        </w:rPr>
      </w:pPr>
    </w:p>
    <w:p w14:paraId="682D0E85" w14:textId="77777777" w:rsidR="00B04DD1" w:rsidRPr="00DD1B32" w:rsidRDefault="00B04DD1" w:rsidP="007C6402">
      <w:pPr>
        <w:spacing w:after="0" w:line="360" w:lineRule="auto"/>
        <w:jc w:val="center"/>
        <w:rPr>
          <w:rFonts w:ascii="Times" w:eastAsia="Times New Roman" w:hAnsi="Times" w:cs="Times New Roman"/>
          <w:sz w:val="26"/>
          <w:szCs w:val="20"/>
          <w:lang w:val="en-US"/>
        </w:rPr>
      </w:pPr>
    </w:p>
    <w:sectPr w:rsidR="00B04DD1" w:rsidRPr="00DD1B32"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DBCBE" w14:textId="77777777" w:rsidR="00EB50B6" w:rsidRDefault="00EB50B6" w:rsidP="00520D81">
      <w:pPr>
        <w:spacing w:after="0" w:line="240" w:lineRule="auto"/>
      </w:pPr>
      <w:r>
        <w:separator/>
      </w:r>
    </w:p>
  </w:endnote>
  <w:endnote w:type="continuationSeparator" w:id="0">
    <w:p w14:paraId="45EA2114" w14:textId="77777777" w:rsidR="00EB50B6" w:rsidRDefault="00EB50B6" w:rsidP="0052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dvOT8608a8d1+20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002533"/>
      <w:docPartObj>
        <w:docPartGallery w:val="Page Numbers (Bottom of Page)"/>
        <w:docPartUnique/>
      </w:docPartObj>
    </w:sdtPr>
    <w:sdtEndPr>
      <w:rPr>
        <w:rFonts w:ascii="Times" w:hAnsi="Times" w:cs="Times"/>
        <w:noProof/>
        <w:sz w:val="24"/>
        <w:szCs w:val="24"/>
      </w:rPr>
    </w:sdtEndPr>
    <w:sdtContent>
      <w:p w14:paraId="6E24CC70" w14:textId="7846BE69" w:rsidR="00520D81" w:rsidRPr="00520D81" w:rsidRDefault="00520D81">
        <w:pPr>
          <w:pStyle w:val="Footer"/>
          <w:jc w:val="right"/>
          <w:rPr>
            <w:rFonts w:ascii="Times" w:hAnsi="Times" w:cs="Times"/>
            <w:sz w:val="24"/>
            <w:szCs w:val="24"/>
          </w:rPr>
        </w:pPr>
        <w:r w:rsidRPr="00520D81">
          <w:rPr>
            <w:rFonts w:ascii="Times" w:hAnsi="Times" w:cs="Times"/>
            <w:sz w:val="24"/>
            <w:szCs w:val="24"/>
          </w:rPr>
          <w:fldChar w:fldCharType="begin"/>
        </w:r>
        <w:r w:rsidRPr="00520D81">
          <w:rPr>
            <w:rFonts w:ascii="Times" w:hAnsi="Times" w:cs="Times"/>
            <w:sz w:val="24"/>
            <w:szCs w:val="24"/>
          </w:rPr>
          <w:instrText xml:space="preserve"> PAGE   \* MERGEFORMAT </w:instrText>
        </w:r>
        <w:r w:rsidRPr="00520D81">
          <w:rPr>
            <w:rFonts w:ascii="Times" w:hAnsi="Times" w:cs="Times"/>
            <w:sz w:val="24"/>
            <w:szCs w:val="24"/>
          </w:rPr>
          <w:fldChar w:fldCharType="separate"/>
        </w:r>
        <w:r w:rsidR="00B30141">
          <w:rPr>
            <w:rFonts w:ascii="Times" w:hAnsi="Times" w:cs="Times"/>
            <w:noProof/>
            <w:sz w:val="24"/>
            <w:szCs w:val="24"/>
          </w:rPr>
          <w:t>2</w:t>
        </w:r>
        <w:r w:rsidRPr="00520D81">
          <w:rPr>
            <w:rFonts w:ascii="Times" w:hAnsi="Times" w:cs="Times"/>
            <w:noProof/>
            <w:sz w:val="24"/>
            <w:szCs w:val="24"/>
          </w:rPr>
          <w:fldChar w:fldCharType="end"/>
        </w:r>
      </w:p>
    </w:sdtContent>
  </w:sdt>
  <w:p w14:paraId="14C3D5E8" w14:textId="77777777" w:rsidR="00520D81" w:rsidRDefault="00520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13FCD" w14:textId="77777777" w:rsidR="00EB50B6" w:rsidRDefault="00EB50B6" w:rsidP="00520D81">
      <w:pPr>
        <w:spacing w:after="0" w:line="240" w:lineRule="auto"/>
      </w:pPr>
      <w:r>
        <w:separator/>
      </w:r>
    </w:p>
  </w:footnote>
  <w:footnote w:type="continuationSeparator" w:id="0">
    <w:p w14:paraId="592D7A35" w14:textId="77777777" w:rsidR="00EB50B6" w:rsidRDefault="00EB50B6" w:rsidP="00520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D24"/>
    <w:rsid w:val="00025AAF"/>
    <w:rsid w:val="00036E75"/>
    <w:rsid w:val="00050DF0"/>
    <w:rsid w:val="00061889"/>
    <w:rsid w:val="00082D24"/>
    <w:rsid w:val="000F0813"/>
    <w:rsid w:val="0011382C"/>
    <w:rsid w:val="00164399"/>
    <w:rsid w:val="0017096A"/>
    <w:rsid w:val="00183D42"/>
    <w:rsid w:val="001917B1"/>
    <w:rsid w:val="001B152B"/>
    <w:rsid w:val="00202BE1"/>
    <w:rsid w:val="00204D6A"/>
    <w:rsid w:val="00216A61"/>
    <w:rsid w:val="00261EF9"/>
    <w:rsid w:val="002E5F83"/>
    <w:rsid w:val="00302369"/>
    <w:rsid w:val="0030535D"/>
    <w:rsid w:val="00306419"/>
    <w:rsid w:val="00315CCD"/>
    <w:rsid w:val="00333EA0"/>
    <w:rsid w:val="00386D26"/>
    <w:rsid w:val="003B537C"/>
    <w:rsid w:val="003D7886"/>
    <w:rsid w:val="003E41C6"/>
    <w:rsid w:val="003F544B"/>
    <w:rsid w:val="00403146"/>
    <w:rsid w:val="004057F5"/>
    <w:rsid w:val="00407AC3"/>
    <w:rsid w:val="00425C15"/>
    <w:rsid w:val="00434B65"/>
    <w:rsid w:val="00457653"/>
    <w:rsid w:val="004753EF"/>
    <w:rsid w:val="004C6B73"/>
    <w:rsid w:val="00520D81"/>
    <w:rsid w:val="00523236"/>
    <w:rsid w:val="005276A4"/>
    <w:rsid w:val="0058120D"/>
    <w:rsid w:val="0058564D"/>
    <w:rsid w:val="005A0FA6"/>
    <w:rsid w:val="005B7C5E"/>
    <w:rsid w:val="005C0A24"/>
    <w:rsid w:val="00602F88"/>
    <w:rsid w:val="00630361"/>
    <w:rsid w:val="0063687E"/>
    <w:rsid w:val="0065170A"/>
    <w:rsid w:val="00662E1C"/>
    <w:rsid w:val="00672B4A"/>
    <w:rsid w:val="006B5A80"/>
    <w:rsid w:val="006C2544"/>
    <w:rsid w:val="00702A18"/>
    <w:rsid w:val="00704926"/>
    <w:rsid w:val="00721D57"/>
    <w:rsid w:val="00744996"/>
    <w:rsid w:val="0076569E"/>
    <w:rsid w:val="0079033B"/>
    <w:rsid w:val="007904B4"/>
    <w:rsid w:val="007B109A"/>
    <w:rsid w:val="007C6402"/>
    <w:rsid w:val="007D5834"/>
    <w:rsid w:val="007F2E0F"/>
    <w:rsid w:val="007F555A"/>
    <w:rsid w:val="00801693"/>
    <w:rsid w:val="008445A8"/>
    <w:rsid w:val="008A4422"/>
    <w:rsid w:val="008B1341"/>
    <w:rsid w:val="008C5B2A"/>
    <w:rsid w:val="008D6DC6"/>
    <w:rsid w:val="00935AED"/>
    <w:rsid w:val="009421AC"/>
    <w:rsid w:val="00951156"/>
    <w:rsid w:val="0095506A"/>
    <w:rsid w:val="00967297"/>
    <w:rsid w:val="00976D0A"/>
    <w:rsid w:val="009A7847"/>
    <w:rsid w:val="009E516D"/>
    <w:rsid w:val="009F0EE3"/>
    <w:rsid w:val="009F2265"/>
    <w:rsid w:val="00A05527"/>
    <w:rsid w:val="00A13F3E"/>
    <w:rsid w:val="00A16CBE"/>
    <w:rsid w:val="00A403BD"/>
    <w:rsid w:val="00A52D14"/>
    <w:rsid w:val="00A6357C"/>
    <w:rsid w:val="00A70020"/>
    <w:rsid w:val="00A843BA"/>
    <w:rsid w:val="00A8484A"/>
    <w:rsid w:val="00AB6C61"/>
    <w:rsid w:val="00AC4BCB"/>
    <w:rsid w:val="00AE1612"/>
    <w:rsid w:val="00AF643E"/>
    <w:rsid w:val="00B04DD1"/>
    <w:rsid w:val="00B12A74"/>
    <w:rsid w:val="00B175F7"/>
    <w:rsid w:val="00B30141"/>
    <w:rsid w:val="00B42CD0"/>
    <w:rsid w:val="00B70A5D"/>
    <w:rsid w:val="00B96C07"/>
    <w:rsid w:val="00BA5C72"/>
    <w:rsid w:val="00BD55DA"/>
    <w:rsid w:val="00BF5E1F"/>
    <w:rsid w:val="00C046D4"/>
    <w:rsid w:val="00C30704"/>
    <w:rsid w:val="00C40E1A"/>
    <w:rsid w:val="00C66954"/>
    <w:rsid w:val="00C8704B"/>
    <w:rsid w:val="00C920F1"/>
    <w:rsid w:val="00CB44C2"/>
    <w:rsid w:val="00CB7357"/>
    <w:rsid w:val="00CD0668"/>
    <w:rsid w:val="00D03274"/>
    <w:rsid w:val="00D16B6B"/>
    <w:rsid w:val="00D21D94"/>
    <w:rsid w:val="00D25DDE"/>
    <w:rsid w:val="00D845A2"/>
    <w:rsid w:val="00D8732F"/>
    <w:rsid w:val="00DD1807"/>
    <w:rsid w:val="00DD1B32"/>
    <w:rsid w:val="00DF2F4F"/>
    <w:rsid w:val="00DF3C81"/>
    <w:rsid w:val="00E41F9E"/>
    <w:rsid w:val="00E42B2F"/>
    <w:rsid w:val="00E44A62"/>
    <w:rsid w:val="00E676B2"/>
    <w:rsid w:val="00E846CC"/>
    <w:rsid w:val="00E85867"/>
    <w:rsid w:val="00EB50B6"/>
    <w:rsid w:val="00EC2AD9"/>
    <w:rsid w:val="00EC7C77"/>
    <w:rsid w:val="00ED02E3"/>
    <w:rsid w:val="00F07422"/>
    <w:rsid w:val="00F11E7D"/>
    <w:rsid w:val="00F459EC"/>
    <w:rsid w:val="00F72109"/>
    <w:rsid w:val="00FD033E"/>
    <w:rsid w:val="00FD562D"/>
    <w:rsid w:val="00FF107D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A0A388"/>
  <w15:docId w15:val="{C42E43F6-2EE6-4E1F-ADB4-1306A2F9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082D2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2D24"/>
    <w:pPr>
      <w:spacing w:line="240" w:lineRule="auto"/>
      <w:jc w:val="both"/>
    </w:pPr>
    <w:rPr>
      <w:rFonts w:ascii="Times" w:eastAsia="Times New Roman" w:hAnsi="Times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082D24"/>
    <w:rPr>
      <w:rFonts w:ascii="Times" w:eastAsia="Times New Roman" w:hAnsi="Times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D24"/>
    <w:rPr>
      <w:rFonts w:ascii="Tahoma" w:hAnsi="Tahoma" w:cs="Tahoma"/>
      <w:sz w:val="16"/>
      <w:szCs w:val="16"/>
    </w:rPr>
  </w:style>
  <w:style w:type="paragraph" w:customStyle="1" w:styleId="BCAuthorAddress">
    <w:name w:val="BC_Author_Address"/>
    <w:basedOn w:val="Normal"/>
    <w:next w:val="BIEmailAddress"/>
    <w:rsid w:val="00DF3C81"/>
    <w:pPr>
      <w:spacing w:after="240" w:line="480" w:lineRule="auto"/>
      <w:jc w:val="center"/>
    </w:pPr>
    <w:rPr>
      <w:rFonts w:ascii="Times" w:eastAsia="Times New Roman" w:hAnsi="Times" w:cs="Times New Roman"/>
      <w:sz w:val="24"/>
      <w:szCs w:val="20"/>
      <w:lang w:val="en-US"/>
    </w:rPr>
  </w:style>
  <w:style w:type="paragraph" w:customStyle="1" w:styleId="BIEmailAddress">
    <w:name w:val="BI_Email_Address"/>
    <w:basedOn w:val="Normal"/>
    <w:next w:val="Normal"/>
    <w:rsid w:val="00DF3C81"/>
    <w:pPr>
      <w:spacing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81"/>
  </w:style>
  <w:style w:type="paragraph" w:styleId="Footer">
    <w:name w:val="footer"/>
    <w:basedOn w:val="Normal"/>
    <w:link w:val="FooterChar"/>
    <w:uiPriority w:val="99"/>
    <w:unhideWhenUsed/>
    <w:rsid w:val="0052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81"/>
  </w:style>
  <w:style w:type="paragraph" w:customStyle="1" w:styleId="FACorrespondingAuthorFootnote">
    <w:name w:val="FA_Corresponding_Author_Footnote"/>
    <w:basedOn w:val="Normal"/>
    <w:next w:val="Normal"/>
    <w:rsid w:val="00C66954"/>
    <w:pPr>
      <w:spacing w:line="480" w:lineRule="auto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6954"/>
    <w:pPr>
      <w:jc w:val="left"/>
    </w:pPr>
    <w:rPr>
      <w:rFonts w:asciiTheme="minorHAnsi" w:eastAsiaTheme="minorHAnsi" w:hAnsiTheme="minorHAnsi" w:cstheme="minorBidi"/>
      <w:b/>
      <w:bCs/>
      <w:lang w:val="de-D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6954"/>
    <w:rPr>
      <w:rFonts w:ascii="Times" w:eastAsia="Times New Roman" w:hAnsi="Times" w:cs="Times New Roman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A6357C"/>
    <w:rPr>
      <w:color w:val="808080"/>
    </w:rPr>
  </w:style>
  <w:style w:type="paragraph" w:styleId="ListParagraph">
    <w:name w:val="List Paragraph"/>
    <w:basedOn w:val="Normal"/>
    <w:uiPriority w:val="34"/>
    <w:qFormat/>
    <w:rsid w:val="00A16CBE"/>
    <w:pPr>
      <w:ind w:left="720"/>
      <w:contextualSpacing/>
    </w:pPr>
  </w:style>
  <w:style w:type="paragraph" w:styleId="Revision">
    <w:name w:val="Revision"/>
    <w:hidden/>
    <w:uiPriority w:val="99"/>
    <w:semiHidden/>
    <w:rsid w:val="00976D0A"/>
    <w:pPr>
      <w:spacing w:after="0" w:line="240" w:lineRule="auto"/>
    </w:pPr>
  </w:style>
  <w:style w:type="paragraph" w:customStyle="1" w:styleId="MDPI12title">
    <w:name w:val="MDPI_1.2_title"/>
    <w:next w:val="Normal"/>
    <w:qFormat/>
    <w:rsid w:val="0040314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basedOn w:val="Normal"/>
    <w:next w:val="Normal"/>
    <w:qFormat/>
    <w:rsid w:val="00403146"/>
    <w:pPr>
      <w:adjustRightInd w:val="0"/>
      <w:snapToGrid w:val="0"/>
      <w:spacing w:after="12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6affiliation">
    <w:name w:val="MDPI_1.6_affiliation"/>
    <w:basedOn w:val="Normal"/>
    <w:qFormat/>
    <w:rsid w:val="00403146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480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Ho, Duy Khiet</dc:creator>
  <cp:lastModifiedBy>Gordon, Sarah</cp:lastModifiedBy>
  <cp:revision>2</cp:revision>
  <dcterms:created xsi:type="dcterms:W3CDTF">2019-03-08T09:36:00Z</dcterms:created>
  <dcterms:modified xsi:type="dcterms:W3CDTF">2019-03-08T09:36:00Z</dcterms:modified>
</cp:coreProperties>
</file>